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B66" w14:textId="3684E5EE" w:rsidR="00295F59" w:rsidRDefault="00371997" w:rsidP="003A4B82">
      <w:r>
        <w:rPr>
          <w:noProof/>
        </w:rPr>
        <w:drawing>
          <wp:anchor distT="0" distB="0" distL="114300" distR="114300" simplePos="0" relativeHeight="251659264" behindDoc="0" locked="0" layoutInCell="1" allowOverlap="1" wp14:anchorId="06ACA252" wp14:editId="2B9C6101">
            <wp:simplePos x="0" y="0"/>
            <wp:positionH relativeFrom="column">
              <wp:posOffset>5587159</wp:posOffset>
            </wp:positionH>
            <wp:positionV relativeFrom="page">
              <wp:posOffset>436806</wp:posOffset>
            </wp:positionV>
            <wp:extent cx="997459" cy="655607"/>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7459" cy="655607"/>
                    </a:xfrm>
                    <a:prstGeom prst="rect">
                      <a:avLst/>
                    </a:prstGeom>
                  </pic:spPr>
                </pic:pic>
              </a:graphicData>
            </a:graphic>
            <wp14:sizeRelH relativeFrom="margin">
              <wp14:pctWidth>0</wp14:pctWidth>
            </wp14:sizeRelH>
            <wp14:sizeRelV relativeFrom="margin">
              <wp14:pctHeight>0</wp14:pctHeight>
            </wp14:sizeRelV>
          </wp:anchor>
        </w:drawing>
      </w:r>
    </w:p>
    <w:p w14:paraId="5518E313" w14:textId="77777777" w:rsidR="00295F59" w:rsidRDefault="00295F59" w:rsidP="003A4B82"/>
    <w:p w14:paraId="54724CC7" w14:textId="77777777" w:rsidR="00295F59" w:rsidRDefault="00295F59" w:rsidP="003A4B82"/>
    <w:p w14:paraId="0C220252" w14:textId="031422BA" w:rsidR="00535327" w:rsidRDefault="00D60669" w:rsidP="003A4B82">
      <w:r>
        <w:tab/>
      </w:r>
    </w:p>
    <w:p w14:paraId="4A310E81" w14:textId="703A077D" w:rsidR="00535327" w:rsidRDefault="00535327" w:rsidP="003A4B82"/>
    <w:p w14:paraId="7D3E4BB4" w14:textId="77777777" w:rsidR="00803CE0" w:rsidRPr="00803CE0" w:rsidRDefault="00803CE0" w:rsidP="003A4B82">
      <w:pPr>
        <w:rPr>
          <w:sz w:val="12"/>
          <w:szCs w:val="12"/>
        </w:rPr>
      </w:pPr>
    </w:p>
    <w:p w14:paraId="244B924F" w14:textId="797F3A4B" w:rsidR="00295F59" w:rsidRPr="00BF4A19" w:rsidRDefault="00BF4A19" w:rsidP="00301DFA">
      <w:pPr>
        <w:spacing w:line="276" w:lineRule="auto"/>
      </w:pPr>
      <w:r w:rsidRPr="00BF4A19">
        <w:rPr>
          <w:b/>
          <w:color w:val="004785"/>
          <w:sz w:val="44"/>
          <w:szCs w:val="44"/>
        </w:rPr>
        <w:t>Scottish Paediatric and Adolescent Rheumatology Network</w:t>
      </w:r>
    </w:p>
    <w:p w14:paraId="695769DB" w14:textId="3DE846E3" w:rsidR="00BF4A19" w:rsidRDefault="00A04DC4" w:rsidP="00DC3216">
      <w:pPr>
        <w:spacing w:line="276" w:lineRule="auto"/>
      </w:pPr>
      <w:r>
        <w:rPr>
          <w:bCs/>
          <w:color w:val="004785"/>
          <w:sz w:val="44"/>
          <w:szCs w:val="44"/>
        </w:rPr>
        <w:t>SPARN statement on flu vaccination</w:t>
      </w:r>
    </w:p>
    <w:p w14:paraId="4F740CCD" w14:textId="77777777" w:rsidR="00DC3216" w:rsidRPr="00DC3216" w:rsidRDefault="00DC3216" w:rsidP="00DC3216">
      <w:pPr>
        <w:rPr>
          <w:b/>
          <w:bCs/>
        </w:rPr>
      </w:pPr>
    </w:p>
    <w:p w14:paraId="7CDF540F" w14:textId="77777777" w:rsidR="00A04DC4" w:rsidRDefault="00A04DC4" w:rsidP="00A04DC4">
      <w:r>
        <w:t xml:space="preserve">The 2023/24 Scottish Flu Vaccine plan </w:t>
      </w:r>
      <w:r w:rsidRPr="4E43D896">
        <w:rPr>
          <w:vertAlign w:val="superscript"/>
        </w:rPr>
        <w:t>(6)</w:t>
      </w:r>
      <w:r>
        <w:t xml:space="preserve"> is for all children between the ages of 2 and end of secondary education to be offered Flu vaccination regardless of clinical situation.</w:t>
      </w:r>
    </w:p>
    <w:p w14:paraId="1EA8C71A" w14:textId="77777777" w:rsidR="00A04DC4" w:rsidRDefault="00A04DC4" w:rsidP="00A04DC4"/>
    <w:p w14:paraId="4BEAE977" w14:textId="77777777" w:rsidR="00A04DC4" w:rsidRDefault="00A04DC4" w:rsidP="00A04DC4">
      <w:r>
        <w:t>The standard offer will be the live attenuated intranasal influenza vaccine (LAIV</w:t>
      </w:r>
      <w:proofErr w:type="gramStart"/>
      <w:r>
        <w:t>), unless</w:t>
      </w:r>
      <w:proofErr w:type="gramEnd"/>
      <w:r>
        <w:t xml:space="preserve"> this is contra-indicated. If contraindicated (see below), cell based quadrivalent influenza vaccine (Seqirus Vaccines) (</w:t>
      </w:r>
      <w:proofErr w:type="spellStart"/>
      <w:r>
        <w:t>QIVc</w:t>
      </w:r>
      <w:proofErr w:type="spellEnd"/>
      <w:r>
        <w:t xml:space="preserve">, an injection vaccine) should be offered </w:t>
      </w:r>
      <w:r w:rsidRPr="4E43D896">
        <w:rPr>
          <w:vertAlign w:val="superscript"/>
        </w:rPr>
        <w:t>(2,6)</w:t>
      </w:r>
      <w:r>
        <w:t xml:space="preserve">. </w:t>
      </w:r>
    </w:p>
    <w:p w14:paraId="0E0B5CD7" w14:textId="77777777" w:rsidR="00A04DC4" w:rsidRDefault="00A04DC4" w:rsidP="00A04DC4"/>
    <w:p w14:paraId="64F55914" w14:textId="77777777" w:rsidR="00A04DC4" w:rsidRDefault="00A04DC4" w:rsidP="00A04DC4">
      <w:r>
        <w:t xml:space="preserve">Vaccine to be offered based on medications </w:t>
      </w:r>
      <w:r w:rsidRPr="4E43D896">
        <w:rPr>
          <w:vertAlign w:val="superscript"/>
        </w:rPr>
        <w:t>(7).</w:t>
      </w:r>
      <w:r>
        <w:t xml:space="preserve"> </w:t>
      </w:r>
    </w:p>
    <w:p w14:paraId="33673E37" w14:textId="77777777" w:rsidR="00A04DC4" w:rsidRPr="001E509B" w:rsidRDefault="00A04DC4" w:rsidP="00A04DC4">
      <w:pPr>
        <w:pStyle w:val="ListParagraph"/>
        <w:tabs>
          <w:tab w:val="left" w:pos="1539"/>
          <w:tab w:val="left" w:pos="1541"/>
        </w:tabs>
        <w:spacing w:line="251" w:lineRule="exact"/>
        <w:ind w:left="0" w:right="189"/>
        <w:jc w:val="both"/>
      </w:pPr>
    </w:p>
    <w:p w14:paraId="1ACA97AE" w14:textId="77777777" w:rsidR="00A04DC4" w:rsidRDefault="00A04DC4" w:rsidP="00A04DC4">
      <w:pPr>
        <w:pStyle w:val="ListParagraph"/>
        <w:widowControl w:val="0"/>
        <w:numPr>
          <w:ilvl w:val="0"/>
          <w:numId w:val="44"/>
        </w:numPr>
        <w:tabs>
          <w:tab w:val="left" w:pos="1539"/>
          <w:tab w:val="left" w:pos="1541"/>
        </w:tabs>
        <w:autoSpaceDE w:val="0"/>
        <w:autoSpaceDN w:val="0"/>
        <w:spacing w:line="251" w:lineRule="exact"/>
        <w:ind w:left="426" w:right="189" w:hanging="284"/>
        <w:contextualSpacing w:val="0"/>
        <w:jc w:val="both"/>
      </w:pPr>
      <w:r w:rsidRPr="71681999">
        <w:rPr>
          <w:b/>
          <w:bCs/>
        </w:rPr>
        <w:t>Low</w:t>
      </w:r>
      <w:r w:rsidRPr="71681999">
        <w:rPr>
          <w:b/>
          <w:bCs/>
          <w:spacing w:val="-5"/>
        </w:rPr>
        <w:t xml:space="preserve"> </w:t>
      </w:r>
      <w:r w:rsidRPr="71681999">
        <w:rPr>
          <w:b/>
          <w:bCs/>
        </w:rPr>
        <w:t>intensity</w:t>
      </w:r>
      <w:r w:rsidRPr="71681999">
        <w:rPr>
          <w:b/>
          <w:bCs/>
          <w:spacing w:val="-11"/>
        </w:rPr>
        <w:t xml:space="preserve"> </w:t>
      </w:r>
      <w:r w:rsidRPr="71681999">
        <w:rPr>
          <w:b/>
          <w:bCs/>
        </w:rPr>
        <w:t>immunosuppression</w:t>
      </w:r>
      <w:r w:rsidRPr="71681999">
        <w:rPr>
          <w:b/>
          <w:bCs/>
          <w:spacing w:val="-6"/>
        </w:rPr>
        <w:t xml:space="preserve"> </w:t>
      </w:r>
      <w:proofErr w:type="gramStart"/>
      <w:r w:rsidRPr="00EE0B05">
        <w:rPr>
          <w:spacing w:val="-2"/>
        </w:rPr>
        <w:t>includes;</w:t>
      </w:r>
      <w:proofErr w:type="gramEnd"/>
      <w:r>
        <w:rPr>
          <w:spacing w:val="-2"/>
        </w:rPr>
        <w:t xml:space="preserve"> </w:t>
      </w:r>
      <w:r w:rsidRPr="00D914D9">
        <w:t>less than 20mg prednisolone per day or less than 1mg/kg/day in children under 20kg, Plus Methotrexate at or below 15mg per m</w:t>
      </w:r>
      <w:r w:rsidRPr="71681999">
        <w:rPr>
          <w:vertAlign w:val="superscript"/>
        </w:rPr>
        <w:t>2</w:t>
      </w:r>
      <w:r w:rsidRPr="00D914D9">
        <w:t xml:space="preserve"> of body surface area or Azathioprine at or below 3mg/kg/day. </w:t>
      </w:r>
      <w:r w:rsidRPr="71681999">
        <w:rPr>
          <w:b/>
          <w:bCs/>
        </w:rPr>
        <w:t>Can have standard offer of live flu (LAIV). A 28kg child is 1 m</w:t>
      </w:r>
      <w:r w:rsidRPr="71681999">
        <w:rPr>
          <w:b/>
          <w:bCs/>
          <w:vertAlign w:val="superscript"/>
        </w:rPr>
        <w:t>2</w:t>
      </w:r>
    </w:p>
    <w:p w14:paraId="69299D90" w14:textId="77777777" w:rsidR="00A04DC4" w:rsidRDefault="00A04DC4" w:rsidP="00A04DC4">
      <w:pPr>
        <w:pStyle w:val="BodyText"/>
        <w:spacing w:before="9"/>
        <w:ind w:left="426" w:hanging="284"/>
        <w:rPr>
          <w:sz w:val="21"/>
        </w:rPr>
      </w:pPr>
    </w:p>
    <w:p w14:paraId="7C8E95B8" w14:textId="77777777" w:rsidR="00A04DC4" w:rsidRPr="00D914D9" w:rsidRDefault="00A04DC4" w:rsidP="00A04DC4">
      <w:pPr>
        <w:pStyle w:val="ListParagraph"/>
        <w:widowControl w:val="0"/>
        <w:numPr>
          <w:ilvl w:val="0"/>
          <w:numId w:val="44"/>
        </w:numPr>
        <w:tabs>
          <w:tab w:val="left" w:pos="1540"/>
          <w:tab w:val="left" w:pos="1541"/>
        </w:tabs>
        <w:autoSpaceDE w:val="0"/>
        <w:autoSpaceDN w:val="0"/>
        <w:spacing w:before="1"/>
        <w:ind w:left="426" w:right="464" w:hanging="284"/>
        <w:contextualSpacing w:val="0"/>
        <w:jc w:val="both"/>
      </w:pPr>
      <w:r w:rsidRPr="71681999">
        <w:rPr>
          <w:b/>
          <w:bCs/>
        </w:rPr>
        <w:t>High</w:t>
      </w:r>
      <w:r w:rsidRPr="71681999">
        <w:rPr>
          <w:b/>
          <w:bCs/>
          <w:spacing w:val="-3"/>
        </w:rPr>
        <w:t xml:space="preserve"> </w:t>
      </w:r>
      <w:r w:rsidRPr="71681999">
        <w:rPr>
          <w:b/>
          <w:bCs/>
        </w:rPr>
        <w:t>intensity</w:t>
      </w:r>
      <w:r w:rsidRPr="71681999">
        <w:rPr>
          <w:b/>
          <w:bCs/>
          <w:spacing w:val="-7"/>
        </w:rPr>
        <w:t xml:space="preserve"> </w:t>
      </w:r>
      <w:r w:rsidRPr="71681999">
        <w:rPr>
          <w:b/>
          <w:bCs/>
        </w:rPr>
        <w:t>immunosuppression</w:t>
      </w:r>
      <w:r w:rsidRPr="71681999">
        <w:rPr>
          <w:b/>
          <w:bCs/>
          <w:spacing w:val="-3"/>
        </w:rPr>
        <w:t xml:space="preserve"> </w:t>
      </w:r>
      <w:bookmarkStart w:id="0" w:name="_Hlk110935314"/>
      <w:r w:rsidRPr="00D914D9">
        <w:t>is any combination of the above medications at doses higher than those above or in combination with/the addition of any biological or small molecule drugs (</w:t>
      </w:r>
      <w:proofErr w:type="gramStart"/>
      <w:r w:rsidRPr="00D914D9">
        <w:t>e.g.</w:t>
      </w:r>
      <w:proofErr w:type="gramEnd"/>
      <w:r w:rsidRPr="00D914D9">
        <w:t xml:space="preserve"> JAK inhibitors) or Mycophenolate. </w:t>
      </w:r>
      <w:r w:rsidRPr="00EE0B05">
        <w:rPr>
          <w:b/>
          <w:bCs/>
        </w:rPr>
        <w:t>LAIV is contraindicated</w:t>
      </w:r>
      <w:r w:rsidRPr="00D914D9">
        <w:t>, to be offered a quadrivalent influenza (injection) vaccine.</w:t>
      </w:r>
    </w:p>
    <w:p w14:paraId="0512B014" w14:textId="77777777" w:rsidR="00A04DC4" w:rsidRDefault="00A04DC4" w:rsidP="00A04DC4">
      <w:pPr>
        <w:ind w:left="426" w:hanging="284"/>
        <w:jc w:val="both"/>
      </w:pPr>
    </w:p>
    <w:p w14:paraId="38F9A909" w14:textId="77777777" w:rsidR="00A04DC4" w:rsidRPr="00D914D9" w:rsidRDefault="00A04DC4" w:rsidP="00A04DC4">
      <w:pPr>
        <w:jc w:val="both"/>
      </w:pPr>
      <w:r>
        <w:t xml:space="preserve">Those children between 18 months and 9 years in at risk groups who have never been vaccinated against flu (regardless of type) should be offered 2 doses one month apart </w:t>
      </w:r>
      <w:r w:rsidRPr="7A24E7C2">
        <w:rPr>
          <w:vertAlign w:val="superscript"/>
        </w:rPr>
        <w:t>(1).</w:t>
      </w:r>
      <w:r>
        <w:t xml:space="preserve"> </w:t>
      </w:r>
    </w:p>
    <w:p w14:paraId="5CD699D5" w14:textId="77777777" w:rsidR="00A04DC4" w:rsidRDefault="00A04DC4" w:rsidP="00A04DC4">
      <w:pPr>
        <w:jc w:val="both"/>
      </w:pPr>
    </w:p>
    <w:p w14:paraId="2FD858DF" w14:textId="77777777" w:rsidR="00A04DC4" w:rsidRDefault="00A04DC4" w:rsidP="00A04DC4">
      <w:pPr>
        <w:ind w:right="47"/>
      </w:pPr>
      <w:r>
        <w:t>The Green book and Scottish Government plan also recommend vaccination for children in clinical risk groups aged between 6 months to less than 2 years. They will be offered egg based quadrivalent influenza vaccine (Sanofi Pasteur Vaccines) (</w:t>
      </w:r>
      <w:proofErr w:type="spellStart"/>
      <w:r>
        <w:t>QIVe</w:t>
      </w:r>
      <w:proofErr w:type="spellEnd"/>
      <w:r>
        <w:t xml:space="preserve">, an injection vaccine) </w:t>
      </w:r>
      <w:r w:rsidRPr="4E43D896">
        <w:rPr>
          <w:vertAlign w:val="superscript"/>
        </w:rPr>
        <w:t>(1, 6)</w:t>
      </w:r>
      <w:r>
        <w:t xml:space="preserve">. </w:t>
      </w:r>
    </w:p>
    <w:p w14:paraId="19D62A59" w14:textId="77777777" w:rsidR="00A04DC4" w:rsidRDefault="00A04DC4" w:rsidP="00A04DC4">
      <w:pPr>
        <w:ind w:right="47"/>
      </w:pPr>
    </w:p>
    <w:p w14:paraId="482348CF" w14:textId="77777777" w:rsidR="00A04DC4" w:rsidRDefault="00A04DC4" w:rsidP="00A04DC4">
      <w:pPr>
        <w:ind w:right="47"/>
      </w:pPr>
      <w:r>
        <w:t xml:space="preserve">Individuals receiving any Disease Modifying Anti Rheumatic Drug or Biologic therapy, fulfil the criteria of “at risk” within the green book and should be encouraged to take up offer of annual Flu </w:t>
      </w:r>
      <w:proofErr w:type="gramStart"/>
      <w:r>
        <w:t>vaccination</w:t>
      </w:r>
      <w:r w:rsidRPr="4E43D896">
        <w:rPr>
          <w:vertAlign w:val="superscript"/>
        </w:rPr>
        <w:t>(</w:t>
      </w:r>
      <w:proofErr w:type="gramEnd"/>
      <w:r w:rsidRPr="4E43D896">
        <w:rPr>
          <w:vertAlign w:val="superscript"/>
        </w:rPr>
        <w:t>1, 3)</w:t>
      </w:r>
      <w:r>
        <w:t>.</w:t>
      </w:r>
    </w:p>
    <w:p w14:paraId="0CAD1B0C" w14:textId="77777777" w:rsidR="00A04DC4" w:rsidRDefault="00A04DC4" w:rsidP="00A04DC4">
      <w:pPr>
        <w:jc w:val="both"/>
      </w:pPr>
    </w:p>
    <w:p w14:paraId="67F359C6" w14:textId="77777777" w:rsidR="00A04DC4" w:rsidRDefault="00A04DC4" w:rsidP="00A04DC4">
      <w:pPr>
        <w:jc w:val="both"/>
      </w:pPr>
      <w:r>
        <w:t xml:space="preserve">Patients over 18 not in secondary education who </w:t>
      </w:r>
      <w:proofErr w:type="spellStart"/>
      <w:r>
        <w:t>fulfill</w:t>
      </w:r>
      <w:proofErr w:type="spellEnd"/>
      <w:r>
        <w:t xml:space="preserve"> criteria of “at risk” will be offered </w:t>
      </w:r>
      <w:proofErr w:type="spellStart"/>
      <w:r>
        <w:t>aQIV</w:t>
      </w:r>
      <w:proofErr w:type="spellEnd"/>
      <w:r>
        <w:t xml:space="preserve"> - Adjuvanted Quadrivalent Influenza Vaccine (Seqirus) via local systems </w:t>
      </w:r>
      <w:proofErr w:type="gramStart"/>
      <w:r w:rsidRPr="4E43D896">
        <w:rPr>
          <w:vertAlign w:val="superscript"/>
        </w:rPr>
        <w:t xml:space="preserve">9 </w:t>
      </w:r>
      <w:r w:rsidRPr="4E43D896">
        <w:t>.</w:t>
      </w:r>
      <w:proofErr w:type="gramEnd"/>
      <w:r w:rsidRPr="4E43D896">
        <w:t xml:space="preserve"> </w:t>
      </w:r>
    </w:p>
    <w:p w14:paraId="7DC7E687" w14:textId="77777777" w:rsidR="00A04DC4" w:rsidRDefault="00A04DC4" w:rsidP="00A04DC4">
      <w:pPr>
        <w:spacing w:line="259" w:lineRule="auto"/>
        <w:jc w:val="both"/>
      </w:pPr>
    </w:p>
    <w:p w14:paraId="78E3D4EE" w14:textId="77777777" w:rsidR="00A04DC4" w:rsidRDefault="00A04DC4" w:rsidP="00A04DC4">
      <w:pPr>
        <w:jc w:val="both"/>
      </w:pPr>
      <w:r w:rsidRPr="71681999">
        <w:rPr>
          <w:b/>
          <w:bCs/>
        </w:rPr>
        <w:t>All SPARN teams</w:t>
      </w:r>
      <w:r>
        <w:t xml:space="preserve"> should actively ensure that their children and young people on DMARDS and Biologics are aware we recommend annual flu vaccination as above. Children under 2 years may need highlighted to vaccination teams. </w:t>
      </w:r>
    </w:p>
    <w:bookmarkEnd w:id="0"/>
    <w:p w14:paraId="002D793B" w14:textId="17B8E1EB" w:rsidR="00A04DC4" w:rsidRDefault="00A04DC4" w:rsidP="00A04DC4">
      <w:pPr>
        <w:rPr>
          <w:sz w:val="20"/>
        </w:rPr>
      </w:pPr>
    </w:p>
    <w:p w14:paraId="6B908B39" w14:textId="77777777" w:rsidR="00A04DC4" w:rsidRDefault="00A04DC4" w:rsidP="00A04DC4">
      <w:pPr>
        <w:pStyle w:val="BodyText"/>
        <w:rPr>
          <w:sz w:val="20"/>
        </w:rPr>
      </w:pPr>
    </w:p>
    <w:p w14:paraId="2339EBCB" w14:textId="77777777" w:rsidR="00A04DC4" w:rsidRPr="00D914D9" w:rsidRDefault="00A04DC4" w:rsidP="00A04DC4">
      <w:r w:rsidRPr="00D914D9">
        <w:lastRenderedPageBreak/>
        <w:t xml:space="preserve">References </w:t>
      </w:r>
    </w:p>
    <w:p w14:paraId="001783C5" w14:textId="77777777" w:rsidR="00A04DC4" w:rsidRDefault="00A04DC4" w:rsidP="00A04DC4">
      <w:pPr>
        <w:pStyle w:val="ListParagraph"/>
        <w:widowControl w:val="0"/>
        <w:numPr>
          <w:ilvl w:val="0"/>
          <w:numId w:val="45"/>
        </w:numPr>
        <w:autoSpaceDE w:val="0"/>
        <w:autoSpaceDN w:val="0"/>
        <w:ind w:left="0" w:firstLine="0"/>
        <w:contextualSpacing w:val="0"/>
      </w:pPr>
      <w:r>
        <w:t xml:space="preserve">Green book chapter 19. 20 March 2020, updated 21 September 2022 “Influenza” </w:t>
      </w:r>
    </w:p>
    <w:p w14:paraId="2126D8D0" w14:textId="77777777" w:rsidR="00A04DC4" w:rsidRPr="00D914D9" w:rsidRDefault="00A04DC4" w:rsidP="00A04DC4">
      <w:pPr>
        <w:pStyle w:val="ListParagraph"/>
        <w:ind w:left="0"/>
      </w:pPr>
    </w:p>
    <w:p w14:paraId="6A585889" w14:textId="77777777" w:rsidR="00A04DC4" w:rsidRDefault="00A04DC4" w:rsidP="00A04DC4">
      <w:pPr>
        <w:pStyle w:val="ListParagraph"/>
        <w:widowControl w:val="0"/>
        <w:numPr>
          <w:ilvl w:val="0"/>
          <w:numId w:val="45"/>
        </w:numPr>
        <w:autoSpaceDE w:val="0"/>
        <w:autoSpaceDN w:val="0"/>
        <w:ind w:left="0" w:firstLine="0"/>
        <w:contextualSpacing w:val="0"/>
      </w:pPr>
      <w:r w:rsidRPr="00D914D9">
        <w:t xml:space="preserve">Green book chapter 6, </w:t>
      </w:r>
      <w:r w:rsidRPr="00EE0B05">
        <w:rPr>
          <w:color w:val="0B0C0C"/>
          <w:shd w:val="clear" w:color="auto" w:fill="FFFFFF"/>
        </w:rPr>
        <w:t xml:space="preserve">26 October </w:t>
      </w:r>
      <w:proofErr w:type="gramStart"/>
      <w:r w:rsidRPr="00EE0B05">
        <w:rPr>
          <w:color w:val="0B0C0C"/>
          <w:shd w:val="clear" w:color="auto" w:fill="FFFFFF"/>
        </w:rPr>
        <w:t>2017 </w:t>
      </w:r>
      <w:r w:rsidRPr="00D914D9">
        <w:t>,</w:t>
      </w:r>
      <w:proofErr w:type="gramEnd"/>
      <w:r w:rsidRPr="00D914D9">
        <w:t xml:space="preserve"> “Contraindications and special considerations” </w:t>
      </w:r>
    </w:p>
    <w:p w14:paraId="5A49775B" w14:textId="77777777" w:rsidR="00A04DC4" w:rsidRPr="00D914D9" w:rsidRDefault="00A04DC4" w:rsidP="00A04DC4"/>
    <w:p w14:paraId="4F74B400" w14:textId="77777777" w:rsidR="00A04DC4" w:rsidRDefault="00A04DC4" w:rsidP="00A04DC4">
      <w:pPr>
        <w:pStyle w:val="ListParagraph"/>
        <w:widowControl w:val="0"/>
        <w:numPr>
          <w:ilvl w:val="0"/>
          <w:numId w:val="45"/>
        </w:numPr>
        <w:autoSpaceDE w:val="0"/>
        <w:autoSpaceDN w:val="0"/>
        <w:ind w:left="709" w:hanging="709"/>
        <w:contextualSpacing w:val="0"/>
      </w:pPr>
      <w:r w:rsidRPr="00D914D9">
        <w:t xml:space="preserve">Green book chapter 7, 10 January 2020, “Immunisation of individuals with underlying medical conditions” </w:t>
      </w:r>
    </w:p>
    <w:p w14:paraId="4B2A4AF3" w14:textId="77777777" w:rsidR="00A04DC4" w:rsidRPr="00D914D9" w:rsidRDefault="00A04DC4" w:rsidP="00A04DC4"/>
    <w:p w14:paraId="308A3C26" w14:textId="77777777" w:rsidR="00A04DC4" w:rsidRDefault="00A04DC4" w:rsidP="00A04DC4">
      <w:pPr>
        <w:pStyle w:val="ListParagraph"/>
        <w:widowControl w:val="0"/>
        <w:numPr>
          <w:ilvl w:val="0"/>
          <w:numId w:val="45"/>
        </w:numPr>
        <w:autoSpaceDE w:val="0"/>
        <w:autoSpaceDN w:val="0"/>
        <w:ind w:left="709" w:hanging="709"/>
        <w:contextualSpacing w:val="0"/>
      </w:pPr>
      <w:r w:rsidRPr="00D914D9">
        <w:t xml:space="preserve">Vaccinations in Paediatric Rheumatology: </w:t>
      </w:r>
      <w:proofErr w:type="gramStart"/>
      <w:r w:rsidRPr="00D914D9">
        <w:t>an</w:t>
      </w:r>
      <w:proofErr w:type="gramEnd"/>
      <w:r w:rsidRPr="00D914D9">
        <w:t xml:space="preserve"> Update on Current Developments (2015) </w:t>
      </w:r>
      <w:proofErr w:type="spellStart"/>
      <w:r w:rsidRPr="00D914D9">
        <w:t>Noortje</w:t>
      </w:r>
      <w:proofErr w:type="spellEnd"/>
      <w:r w:rsidRPr="00D914D9">
        <w:t xml:space="preserve"> Groot &amp; </w:t>
      </w:r>
      <w:proofErr w:type="spellStart"/>
      <w:r w:rsidRPr="00D914D9">
        <w:t>Marloes</w:t>
      </w:r>
      <w:proofErr w:type="spellEnd"/>
      <w:r w:rsidRPr="00D914D9">
        <w:t xml:space="preserve"> W. </w:t>
      </w:r>
      <w:proofErr w:type="spellStart"/>
      <w:r w:rsidRPr="00D914D9">
        <w:t>Heijstek</w:t>
      </w:r>
      <w:proofErr w:type="spellEnd"/>
      <w:r w:rsidRPr="00D914D9">
        <w:t xml:space="preserve"> &amp; Nico M. Wulffraat1 Paediatric Rheumatology 17: 46</w:t>
      </w:r>
    </w:p>
    <w:p w14:paraId="4232388C" w14:textId="77777777" w:rsidR="00A04DC4" w:rsidRPr="00D914D9" w:rsidRDefault="00A04DC4" w:rsidP="00A04DC4">
      <w:r w:rsidRPr="00D914D9">
        <w:t xml:space="preserve"> </w:t>
      </w:r>
    </w:p>
    <w:p w14:paraId="1BB03C49" w14:textId="2DAD0623" w:rsidR="00A04DC4" w:rsidRDefault="00A04DC4" w:rsidP="00A04DC4">
      <w:pPr>
        <w:ind w:left="709" w:hanging="709"/>
      </w:pPr>
      <w:r w:rsidRPr="00D914D9">
        <w:t xml:space="preserve">5) </w:t>
      </w:r>
      <w:r>
        <w:t xml:space="preserve">  </w:t>
      </w:r>
      <w:r>
        <w:tab/>
      </w:r>
      <w:r w:rsidRPr="00D914D9">
        <w:t xml:space="preserve">EULAR recommendations for vaccination in paediatric patients with rheumatic diseases (2015) M W </w:t>
      </w:r>
      <w:proofErr w:type="spellStart"/>
      <w:r w:rsidRPr="00D914D9">
        <w:t>Heijstek</w:t>
      </w:r>
      <w:proofErr w:type="spellEnd"/>
      <w:r w:rsidRPr="00D914D9">
        <w:t xml:space="preserve">, L M Ott de Bruin, M Bijl, R Borrow, F van der Klis, I </w:t>
      </w:r>
      <w:proofErr w:type="spellStart"/>
      <w:r w:rsidRPr="00D914D9">
        <w:t>Koné-Paut</w:t>
      </w:r>
      <w:proofErr w:type="spellEnd"/>
      <w:r w:rsidRPr="00D914D9">
        <w:t xml:space="preserve">, A </w:t>
      </w:r>
      <w:proofErr w:type="spellStart"/>
      <w:r w:rsidRPr="00D914D9">
        <w:t>Fasth</w:t>
      </w:r>
      <w:proofErr w:type="spellEnd"/>
      <w:r w:rsidRPr="00D914D9">
        <w:t xml:space="preserve">, K Minden, A </w:t>
      </w:r>
      <w:proofErr w:type="spellStart"/>
      <w:r w:rsidRPr="00D914D9">
        <w:t>Ravelli</w:t>
      </w:r>
      <w:proofErr w:type="spellEnd"/>
      <w:r w:rsidRPr="00D914D9">
        <w:t xml:space="preserve">, M </w:t>
      </w:r>
      <w:proofErr w:type="spellStart"/>
      <w:r w:rsidRPr="00D914D9">
        <w:t>Abinun</w:t>
      </w:r>
      <w:proofErr w:type="spellEnd"/>
      <w:r w:rsidRPr="00D914D9">
        <w:t xml:space="preserve">, G S Pileggi, M </w:t>
      </w:r>
      <w:proofErr w:type="spellStart"/>
      <w:r w:rsidRPr="00D914D9">
        <w:t>Borte</w:t>
      </w:r>
      <w:proofErr w:type="spellEnd"/>
      <w:r w:rsidRPr="00D914D9">
        <w:t xml:space="preserve">, N M </w:t>
      </w:r>
      <w:proofErr w:type="spellStart"/>
      <w:r w:rsidRPr="00D914D9">
        <w:t>Wulffraat</w:t>
      </w:r>
      <w:proofErr w:type="spellEnd"/>
      <w:r w:rsidRPr="00D914D9">
        <w:t xml:space="preserve"> 1 BMJ</w:t>
      </w:r>
      <w:r>
        <w:t xml:space="preserve"> 6) </w:t>
      </w:r>
      <w:hyperlink r:id="rId9" w:history="1">
        <w:r w:rsidRPr="00351418">
          <w:rPr>
            <w:rStyle w:val="Hyperlink"/>
          </w:rPr>
          <w:t>http://www.immunisationscotland.org.uk/vaccines-anddiseases/seasonalflu/childflu.aspx</w:t>
        </w:r>
      </w:hyperlink>
    </w:p>
    <w:p w14:paraId="530585CC" w14:textId="77777777" w:rsidR="00A04DC4" w:rsidRPr="00D914D9" w:rsidRDefault="00A04DC4" w:rsidP="00A04DC4"/>
    <w:p w14:paraId="15EAD5AD" w14:textId="1A741BFB" w:rsidR="00A04DC4" w:rsidRDefault="00A04DC4" w:rsidP="00A04DC4">
      <w:pPr>
        <w:pStyle w:val="ListParagraph"/>
        <w:widowControl w:val="0"/>
        <w:numPr>
          <w:ilvl w:val="0"/>
          <w:numId w:val="46"/>
        </w:numPr>
        <w:autoSpaceDE w:val="0"/>
        <w:autoSpaceDN w:val="0"/>
        <w:ind w:left="709" w:hanging="709"/>
        <w:contextualSpacing w:val="0"/>
      </w:pPr>
      <w:r>
        <w:t xml:space="preserve">Scottish Government SEASONAL FLU IMMUNISATION CHILDHOOD AND SCHOOL    PROGRAMME 2023/24 – COHORT CONFIRMATION </w:t>
      </w:r>
    </w:p>
    <w:p w14:paraId="6D141D45" w14:textId="570C0F46" w:rsidR="00A04DC4" w:rsidRDefault="00A04DC4" w:rsidP="00A04DC4">
      <w:pPr>
        <w:pStyle w:val="ListParagraph"/>
        <w:widowControl w:val="0"/>
        <w:autoSpaceDE w:val="0"/>
        <w:autoSpaceDN w:val="0"/>
        <w:ind w:left="0" w:firstLine="720"/>
        <w:contextualSpacing w:val="0"/>
      </w:pPr>
      <w:r>
        <w:t>a) www.sehd.scot.nhs.uk/cmo/CMO(2023)09.pdf</w:t>
      </w:r>
    </w:p>
    <w:p w14:paraId="37B3CE96" w14:textId="77777777" w:rsidR="00A04DC4" w:rsidRDefault="00A04DC4" w:rsidP="00A04DC4">
      <w:pPr>
        <w:pStyle w:val="ListParagraph"/>
        <w:ind w:left="0"/>
      </w:pPr>
    </w:p>
    <w:p w14:paraId="08092756" w14:textId="77777777" w:rsidR="00A04DC4" w:rsidRPr="00D914D9" w:rsidRDefault="009A4EB2" w:rsidP="00A04DC4">
      <w:pPr>
        <w:pStyle w:val="ListParagraph"/>
        <w:widowControl w:val="0"/>
        <w:numPr>
          <w:ilvl w:val="0"/>
          <w:numId w:val="46"/>
        </w:numPr>
        <w:autoSpaceDE w:val="0"/>
        <w:autoSpaceDN w:val="0"/>
        <w:ind w:left="0" w:firstLine="0"/>
        <w:contextualSpacing w:val="0"/>
      </w:pPr>
      <w:hyperlink r:id="rId10">
        <w:r w:rsidR="00A04DC4" w:rsidRPr="7A24E7C2">
          <w:rPr>
            <w:rStyle w:val="Hyperlink"/>
          </w:rPr>
          <w:t>https://www.sparn.scot.nhs.uk/wp-content/uploads/2021/01/Vaccine-protocol.pdf</w:t>
        </w:r>
      </w:hyperlink>
    </w:p>
    <w:p w14:paraId="6236D5B9" w14:textId="77777777" w:rsidR="00A04DC4" w:rsidRDefault="00A04DC4" w:rsidP="00A04DC4">
      <w:pPr>
        <w:pStyle w:val="ListParagraph"/>
        <w:ind w:left="0"/>
      </w:pPr>
    </w:p>
    <w:p w14:paraId="6CB1FEFC" w14:textId="77777777" w:rsidR="00A04DC4" w:rsidRDefault="00A04DC4" w:rsidP="00A04DC4">
      <w:pPr>
        <w:pStyle w:val="ListParagraph"/>
        <w:widowControl w:val="0"/>
        <w:numPr>
          <w:ilvl w:val="0"/>
          <w:numId w:val="46"/>
        </w:numPr>
        <w:autoSpaceDE w:val="0"/>
        <w:autoSpaceDN w:val="0"/>
        <w:ind w:left="709" w:hanging="709"/>
        <w:contextualSpacing w:val="0"/>
      </w:pPr>
      <w:r w:rsidRPr="7A24E7C2">
        <w:t xml:space="preserve">Scottish Government SEASONAL FLU IMMUNISATION PROGRAMME 2023/24: CONFIRMATION OF ADULT COHORTS </w:t>
      </w:r>
    </w:p>
    <w:p w14:paraId="038FEF27" w14:textId="79C53386" w:rsidR="00A04DC4" w:rsidRDefault="00A04DC4" w:rsidP="00A04DC4">
      <w:pPr>
        <w:pStyle w:val="ListParagraph"/>
        <w:widowControl w:val="0"/>
        <w:numPr>
          <w:ilvl w:val="0"/>
          <w:numId w:val="47"/>
        </w:numPr>
        <w:autoSpaceDE w:val="0"/>
        <w:autoSpaceDN w:val="0"/>
        <w:ind w:left="1134"/>
      </w:pPr>
      <w:r w:rsidRPr="7A24E7C2">
        <w:t>https://www.sehd.scot.nhs.uk/cmo/CMO(2023)05.pdf</w:t>
      </w:r>
    </w:p>
    <w:p w14:paraId="43D66A55" w14:textId="77777777" w:rsidR="00A04DC4" w:rsidRDefault="00A04DC4" w:rsidP="00A04DC4">
      <w:pPr>
        <w:pStyle w:val="BodyText"/>
        <w:rPr>
          <w:sz w:val="20"/>
        </w:rPr>
      </w:pPr>
    </w:p>
    <w:p w14:paraId="13BA1D71" w14:textId="77777777" w:rsidR="00A04DC4" w:rsidRDefault="00A04DC4" w:rsidP="00A04DC4">
      <w:pPr>
        <w:pStyle w:val="BodyText"/>
        <w:rPr>
          <w:sz w:val="20"/>
        </w:rPr>
      </w:pPr>
    </w:p>
    <w:p w14:paraId="6608345E" w14:textId="77777777" w:rsidR="00A04DC4" w:rsidRDefault="00A04DC4" w:rsidP="00A04DC4">
      <w:pPr>
        <w:pStyle w:val="BodyText"/>
        <w:rPr>
          <w:sz w:val="20"/>
        </w:rPr>
      </w:pPr>
    </w:p>
    <w:p w14:paraId="63CDDC74" w14:textId="77777777" w:rsidR="00A04DC4" w:rsidRDefault="00A04DC4" w:rsidP="00A04DC4">
      <w:pPr>
        <w:pStyle w:val="BodyText"/>
        <w:rPr>
          <w:sz w:val="20"/>
        </w:rPr>
      </w:pPr>
    </w:p>
    <w:p w14:paraId="6B8F33F7" w14:textId="77777777" w:rsidR="00A04DC4" w:rsidRDefault="00A04DC4" w:rsidP="00A04DC4">
      <w:pPr>
        <w:pStyle w:val="BodyText"/>
        <w:rPr>
          <w:sz w:val="20"/>
        </w:rPr>
      </w:pPr>
    </w:p>
    <w:p w14:paraId="0ECDFBC4" w14:textId="77777777" w:rsidR="00A04DC4" w:rsidRDefault="00A04DC4" w:rsidP="00A04DC4">
      <w:pPr>
        <w:pStyle w:val="BodyText"/>
        <w:rPr>
          <w:sz w:val="20"/>
        </w:rPr>
      </w:pPr>
    </w:p>
    <w:p w14:paraId="662E6A97" w14:textId="64EAC73E" w:rsidR="00DC3216" w:rsidRPr="00DC3216" w:rsidRDefault="00DC3216" w:rsidP="00DC3216">
      <w:pPr>
        <w:spacing w:line="276" w:lineRule="auto"/>
        <w:rPr>
          <w:b/>
          <w:bCs/>
          <w:iCs/>
          <w:sz w:val="28"/>
          <w:szCs w:val="28"/>
        </w:rPr>
      </w:pPr>
    </w:p>
    <w:p w14:paraId="0BB9A715" w14:textId="77777777" w:rsidR="00295F59" w:rsidRPr="00532963" w:rsidRDefault="00295F59" w:rsidP="003A4B82">
      <w:pPr>
        <w:spacing w:line="276" w:lineRule="auto"/>
        <w:rPr>
          <w:b/>
          <w:bCs/>
        </w:rPr>
      </w:pPr>
      <w:r w:rsidRPr="00532963">
        <w:rPr>
          <w:b/>
          <w:bCs/>
        </w:rPr>
        <w:t>NOTE</w:t>
      </w:r>
    </w:p>
    <w:p w14:paraId="6C4B81DB" w14:textId="2F5EC66B" w:rsidR="00295F59" w:rsidRPr="00295F59" w:rsidRDefault="00295F59" w:rsidP="003A4B82">
      <w:pPr>
        <w:spacing w:line="276" w:lineRule="auto"/>
      </w:pPr>
      <w:r w:rsidRPr="00295F59">
        <w:t xml:space="preserve">This guideline is not intended to be construed or to serve as a standard of care. Standards of care are determined </w:t>
      </w:r>
      <w:r w:rsidR="00532963" w:rsidRPr="00295F59">
        <w:t>based on</w:t>
      </w:r>
      <w:r w:rsidRPr="00295F59">
        <w:t xml:space="preserve"> all clinical data available for an individual case and are subject to change as scientific knowledge and technology advance and patterns of care evolve. Adherence to guideline recommendations will not ensure</w:t>
      </w:r>
      <w:r w:rsidRPr="003A4B82">
        <w:t xml:space="preserve"> a successful outcome in every case, nor should they be construed as including all proper methods of care or excluding</w:t>
      </w:r>
      <w:r w:rsidRPr="00295F59">
        <w:t xml:space="preserve"> other acceptable methods of care aimed at the same results. The ultimate judgement must be made by the appropriate healthcare professional(s) responsible for clinical decisions regarding a particular clinical procedure or treatment plan. This judgement should only be arrived at following discussion of the options with the patient, covering the diagnostic and treatment choices available. It is advised, however, that significant departures from the national guideline or any local guidelines derived from it should be fully documented in the patient’s case notes at the time the relevant decision is taken.</w:t>
      </w:r>
    </w:p>
    <w:sectPr w:rsidR="00295F59" w:rsidRPr="00295F59" w:rsidSect="00803CE0">
      <w:headerReference w:type="default" r:id="rId11"/>
      <w:footerReference w:type="default" r:id="rId12"/>
      <w:headerReference w:type="first" r:id="rId13"/>
      <w:footerReference w:type="first" r:id="rId14"/>
      <w:pgSz w:w="11906" w:h="16838"/>
      <w:pgMar w:top="1701" w:right="720" w:bottom="720" w:left="720" w:header="708"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E571" w14:textId="77777777" w:rsidR="00965CCC" w:rsidRDefault="00965CCC" w:rsidP="003A4B82">
      <w:r>
        <w:separator/>
      </w:r>
    </w:p>
    <w:p w14:paraId="33E2A594" w14:textId="77777777" w:rsidR="00FF7344" w:rsidRDefault="00FF7344" w:rsidP="003A4B82"/>
    <w:p w14:paraId="222EE6F1" w14:textId="77777777" w:rsidR="00FF7344" w:rsidRDefault="00FF7344" w:rsidP="003A4B82"/>
    <w:p w14:paraId="1FABDBA8" w14:textId="77777777" w:rsidR="00FF7344" w:rsidRDefault="00FF7344" w:rsidP="003A4B82"/>
  </w:endnote>
  <w:endnote w:type="continuationSeparator" w:id="0">
    <w:p w14:paraId="5B7C6F6E" w14:textId="77777777" w:rsidR="00965CCC" w:rsidRDefault="00965CCC" w:rsidP="003A4B82">
      <w:r>
        <w:continuationSeparator/>
      </w:r>
    </w:p>
    <w:p w14:paraId="12CD3BA3" w14:textId="77777777" w:rsidR="00FF7344" w:rsidRDefault="00FF7344" w:rsidP="003A4B82"/>
    <w:p w14:paraId="4E842BBA" w14:textId="77777777" w:rsidR="00FF7344" w:rsidRDefault="00FF7344" w:rsidP="003A4B82"/>
    <w:p w14:paraId="70149C3A" w14:textId="77777777" w:rsidR="00FF7344" w:rsidRDefault="00FF7344" w:rsidP="003A4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B214" w14:textId="0772BEE9" w:rsidR="00BF4A19" w:rsidRPr="00BF4A19" w:rsidRDefault="00BF4A19" w:rsidP="00BF4A19">
    <w:pPr>
      <w:rPr>
        <w:rStyle w:val="IntenseEmphasis"/>
        <w:sz w:val="24"/>
        <w:szCs w:val="24"/>
      </w:rPr>
    </w:pPr>
    <w:r w:rsidRPr="00BF4A19">
      <w:rPr>
        <w:rStyle w:val="IntenseEmphasis"/>
        <w:sz w:val="24"/>
        <w:szCs w:val="24"/>
      </w:rPr>
      <w:t xml:space="preserve">Review: </w:t>
    </w:r>
    <w:r w:rsidR="00A04DC4">
      <w:rPr>
        <w:rStyle w:val="IntenseEmphasis"/>
        <w:sz w:val="24"/>
        <w:szCs w:val="24"/>
      </w:rPr>
      <w:t>July 2024</w:t>
    </w:r>
  </w:p>
  <w:p w14:paraId="17862F97" w14:textId="60C8F055" w:rsidR="00FF7344" w:rsidRPr="00BF4A19" w:rsidRDefault="00BF4A19" w:rsidP="00BF4A19">
    <w:pPr>
      <w:pStyle w:val="Footer"/>
      <w:tabs>
        <w:tab w:val="clear" w:pos="4513"/>
        <w:tab w:val="clear" w:pos="9026"/>
        <w:tab w:val="center" w:pos="5245"/>
        <w:tab w:val="right" w:pos="10348"/>
      </w:tabs>
    </w:pPr>
    <w:r w:rsidRPr="00BF4A19">
      <w:rPr>
        <w:rStyle w:val="IntenseEmphasis"/>
        <w:sz w:val="24"/>
        <w:szCs w:val="24"/>
      </w:rPr>
      <w:t>NSD610-013.0</w:t>
    </w:r>
    <w:r w:rsidR="00A04DC4">
      <w:rPr>
        <w:rStyle w:val="IntenseEmphasis"/>
        <w:sz w:val="24"/>
        <w:szCs w:val="24"/>
      </w:rPr>
      <w:t>1</w:t>
    </w:r>
    <w:r w:rsidRPr="00BF4A19">
      <w:rPr>
        <w:rStyle w:val="IntenseEmphasis"/>
        <w:sz w:val="24"/>
        <w:szCs w:val="24"/>
      </w:rPr>
      <w:t xml:space="preserve">   V</w:t>
    </w:r>
    <w:r w:rsidR="00A04DC4">
      <w:rPr>
        <w:rStyle w:val="IntenseEmphasis"/>
        <w:sz w:val="24"/>
        <w:szCs w:val="24"/>
      </w:rPr>
      <w:t>3</w:t>
    </w:r>
    <w:r w:rsidRPr="00BF4A19">
      <w:rPr>
        <w:rStyle w:val="IntenseEmphasis"/>
        <w:sz w:val="24"/>
        <w:szCs w:val="24"/>
      </w:rPr>
      <w:tab/>
    </w:r>
    <w:r w:rsidRPr="00BF4A19">
      <w:rPr>
        <w:rStyle w:val="IntenseEmphasis"/>
        <w:sz w:val="24"/>
        <w:szCs w:val="24"/>
      </w:rPr>
      <w:tab/>
      <w:t xml:space="preserve">Page </w:t>
    </w:r>
    <w:r w:rsidRPr="00BF4A19">
      <w:rPr>
        <w:rStyle w:val="IntenseEmphasis"/>
        <w:sz w:val="24"/>
        <w:szCs w:val="24"/>
      </w:rPr>
      <w:fldChar w:fldCharType="begin"/>
    </w:r>
    <w:r w:rsidRPr="00BF4A19">
      <w:rPr>
        <w:rStyle w:val="IntenseEmphasis"/>
        <w:sz w:val="24"/>
        <w:szCs w:val="24"/>
      </w:rPr>
      <w:instrText xml:space="preserve"> PAGE  \* Arabic  \* MERGEFORMAT </w:instrText>
    </w:r>
    <w:r w:rsidRPr="00BF4A19">
      <w:rPr>
        <w:rStyle w:val="IntenseEmphasis"/>
        <w:sz w:val="24"/>
        <w:szCs w:val="24"/>
      </w:rPr>
      <w:fldChar w:fldCharType="separate"/>
    </w:r>
    <w:r w:rsidRPr="00BF4A19">
      <w:rPr>
        <w:rStyle w:val="IntenseEmphasis"/>
        <w:sz w:val="24"/>
        <w:szCs w:val="24"/>
      </w:rPr>
      <w:t>1</w:t>
    </w:r>
    <w:r w:rsidRPr="00BF4A19">
      <w:rPr>
        <w:rStyle w:val="IntenseEmphasis"/>
        <w:sz w:val="24"/>
        <w:szCs w:val="24"/>
      </w:rPr>
      <w:fldChar w:fldCharType="end"/>
    </w:r>
    <w:r w:rsidRPr="00BF4A19">
      <w:rPr>
        <w:rStyle w:val="IntenseEmphasis"/>
        <w:sz w:val="24"/>
        <w:szCs w:val="24"/>
      </w:rPr>
      <w:t xml:space="preserve"> of </w:t>
    </w:r>
    <w:r w:rsidRPr="00BF4A19">
      <w:rPr>
        <w:rStyle w:val="IntenseEmphasis"/>
        <w:sz w:val="24"/>
        <w:szCs w:val="24"/>
      </w:rPr>
      <w:fldChar w:fldCharType="begin"/>
    </w:r>
    <w:r w:rsidRPr="00BF4A19">
      <w:rPr>
        <w:rStyle w:val="IntenseEmphasis"/>
        <w:sz w:val="24"/>
        <w:szCs w:val="24"/>
      </w:rPr>
      <w:instrText xml:space="preserve"> NUMPAGES  \* Arabic  \* MERGEFORMAT </w:instrText>
    </w:r>
    <w:r w:rsidRPr="00BF4A19">
      <w:rPr>
        <w:rStyle w:val="IntenseEmphasis"/>
        <w:sz w:val="24"/>
        <w:szCs w:val="24"/>
      </w:rPr>
      <w:fldChar w:fldCharType="separate"/>
    </w:r>
    <w:r w:rsidRPr="00BF4A19">
      <w:rPr>
        <w:rStyle w:val="IntenseEmphasis"/>
        <w:sz w:val="24"/>
        <w:szCs w:val="24"/>
      </w:rPr>
      <w:t>4</w:t>
    </w:r>
    <w:r w:rsidRPr="00BF4A19">
      <w:rPr>
        <w:rStyle w:val="IntenseEmphasi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257" w14:textId="7D882C3D" w:rsidR="00E75020" w:rsidRPr="00BF4A19" w:rsidRDefault="00E75020" w:rsidP="003A4B82">
    <w:pPr>
      <w:rPr>
        <w:rStyle w:val="IntenseEmphasis"/>
        <w:sz w:val="24"/>
        <w:szCs w:val="24"/>
      </w:rPr>
    </w:pPr>
    <w:r w:rsidRPr="00BF4A19">
      <w:rPr>
        <w:rStyle w:val="IntenseEmphasis"/>
        <w:sz w:val="24"/>
        <w:szCs w:val="24"/>
      </w:rPr>
      <w:t>Review:</w:t>
    </w:r>
    <w:r w:rsidR="005A1EDC" w:rsidRPr="00BF4A19">
      <w:rPr>
        <w:rStyle w:val="IntenseEmphasis"/>
        <w:sz w:val="24"/>
        <w:szCs w:val="24"/>
      </w:rPr>
      <w:t xml:space="preserve"> </w:t>
    </w:r>
    <w:r w:rsidR="00B25C9D">
      <w:rPr>
        <w:rStyle w:val="IntenseEmphasis"/>
        <w:sz w:val="24"/>
        <w:szCs w:val="24"/>
      </w:rPr>
      <w:t>July 2024</w:t>
    </w:r>
  </w:p>
  <w:p w14:paraId="4395E663" w14:textId="63AD4A4F" w:rsidR="00FF7344" w:rsidRPr="00BF4A19" w:rsidRDefault="00DC3216" w:rsidP="00BF4A19">
    <w:pPr>
      <w:pStyle w:val="Footer"/>
      <w:tabs>
        <w:tab w:val="clear" w:pos="4513"/>
        <w:tab w:val="clear" w:pos="9026"/>
        <w:tab w:val="center" w:pos="5245"/>
        <w:tab w:val="right" w:pos="10348"/>
      </w:tabs>
      <w:rPr>
        <w:sz w:val="32"/>
        <w:szCs w:val="32"/>
      </w:rPr>
    </w:pPr>
    <w:r>
      <w:rPr>
        <w:rStyle w:val="IntenseEmphasis"/>
        <w:sz w:val="24"/>
        <w:szCs w:val="24"/>
      </w:rPr>
      <w:t>NSD610-013.0</w:t>
    </w:r>
    <w:r w:rsidR="00B25C9D">
      <w:rPr>
        <w:rStyle w:val="IntenseEmphasis"/>
        <w:sz w:val="24"/>
        <w:szCs w:val="24"/>
      </w:rPr>
      <w:t>1</w:t>
    </w:r>
    <w:r w:rsidR="00BF4A19">
      <w:rPr>
        <w:rStyle w:val="IntenseEmphasis"/>
        <w:sz w:val="24"/>
        <w:szCs w:val="24"/>
      </w:rPr>
      <w:t xml:space="preserve">   V</w:t>
    </w:r>
    <w:r w:rsidR="00B25C9D">
      <w:rPr>
        <w:rStyle w:val="IntenseEmphasis"/>
        <w:sz w:val="24"/>
        <w:szCs w:val="24"/>
      </w:rPr>
      <w:t>3</w:t>
    </w:r>
    <w:r w:rsidR="00E75020" w:rsidRPr="00BF4A19">
      <w:rPr>
        <w:rStyle w:val="IntenseEmphasis"/>
        <w:sz w:val="24"/>
        <w:szCs w:val="24"/>
      </w:rPr>
      <w:tab/>
    </w:r>
    <w:r w:rsidR="00E75020" w:rsidRPr="00BF4A19">
      <w:rPr>
        <w:rStyle w:val="IntenseEmphasis"/>
        <w:sz w:val="24"/>
        <w:szCs w:val="24"/>
      </w:rPr>
      <w:tab/>
      <w:t xml:space="preserve">Page </w:t>
    </w:r>
    <w:r w:rsidR="00E75020" w:rsidRPr="00BF4A19">
      <w:rPr>
        <w:rStyle w:val="IntenseEmphasis"/>
        <w:sz w:val="24"/>
        <w:szCs w:val="24"/>
      </w:rPr>
      <w:fldChar w:fldCharType="begin"/>
    </w:r>
    <w:r w:rsidR="00E75020" w:rsidRPr="00BF4A19">
      <w:rPr>
        <w:rStyle w:val="IntenseEmphasis"/>
        <w:sz w:val="24"/>
        <w:szCs w:val="24"/>
      </w:rPr>
      <w:instrText xml:space="preserve"> PAGE  \* Arabic  \* MERGEFORMAT </w:instrText>
    </w:r>
    <w:r w:rsidR="00E75020" w:rsidRPr="00BF4A19">
      <w:rPr>
        <w:rStyle w:val="IntenseEmphasis"/>
        <w:sz w:val="24"/>
        <w:szCs w:val="24"/>
      </w:rPr>
      <w:fldChar w:fldCharType="separate"/>
    </w:r>
    <w:r w:rsidR="00E75020" w:rsidRPr="00BF4A19">
      <w:rPr>
        <w:rStyle w:val="IntenseEmphasis"/>
        <w:sz w:val="24"/>
        <w:szCs w:val="24"/>
      </w:rPr>
      <w:t>2</w:t>
    </w:r>
    <w:r w:rsidR="00E75020" w:rsidRPr="00BF4A19">
      <w:rPr>
        <w:rStyle w:val="IntenseEmphasis"/>
        <w:sz w:val="24"/>
        <w:szCs w:val="24"/>
      </w:rPr>
      <w:fldChar w:fldCharType="end"/>
    </w:r>
    <w:r w:rsidR="00E75020" w:rsidRPr="00BF4A19">
      <w:rPr>
        <w:rStyle w:val="IntenseEmphasis"/>
        <w:sz w:val="24"/>
        <w:szCs w:val="24"/>
      </w:rPr>
      <w:t xml:space="preserve"> of </w:t>
    </w:r>
    <w:r w:rsidR="00E75020" w:rsidRPr="00BF4A19">
      <w:rPr>
        <w:rStyle w:val="IntenseEmphasis"/>
        <w:sz w:val="24"/>
        <w:szCs w:val="24"/>
      </w:rPr>
      <w:fldChar w:fldCharType="begin"/>
    </w:r>
    <w:r w:rsidR="00E75020" w:rsidRPr="00BF4A19">
      <w:rPr>
        <w:rStyle w:val="IntenseEmphasis"/>
        <w:sz w:val="24"/>
        <w:szCs w:val="24"/>
      </w:rPr>
      <w:instrText xml:space="preserve"> NUMPAGES  \* Arabic  \* MERGEFORMAT </w:instrText>
    </w:r>
    <w:r w:rsidR="00E75020" w:rsidRPr="00BF4A19">
      <w:rPr>
        <w:rStyle w:val="IntenseEmphasis"/>
        <w:sz w:val="24"/>
        <w:szCs w:val="24"/>
      </w:rPr>
      <w:fldChar w:fldCharType="separate"/>
    </w:r>
    <w:r w:rsidR="00E75020" w:rsidRPr="00BF4A19">
      <w:rPr>
        <w:rStyle w:val="IntenseEmphasis"/>
        <w:sz w:val="24"/>
        <w:szCs w:val="24"/>
      </w:rPr>
      <w:t>5</w:t>
    </w:r>
    <w:r w:rsidR="00E75020" w:rsidRPr="00BF4A19">
      <w:rPr>
        <w:rStyle w:val="IntenseEmphasi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4415" w14:textId="77777777" w:rsidR="00965CCC" w:rsidRDefault="00965CCC" w:rsidP="003A4B82">
      <w:r>
        <w:separator/>
      </w:r>
    </w:p>
    <w:p w14:paraId="6DBC01C9" w14:textId="77777777" w:rsidR="00FF7344" w:rsidRDefault="00FF7344" w:rsidP="003A4B82"/>
    <w:p w14:paraId="18F5C7CF" w14:textId="77777777" w:rsidR="00FF7344" w:rsidRDefault="00FF7344" w:rsidP="003A4B82"/>
    <w:p w14:paraId="1FB3BA50" w14:textId="77777777" w:rsidR="00FF7344" w:rsidRDefault="00FF7344" w:rsidP="003A4B82"/>
  </w:footnote>
  <w:footnote w:type="continuationSeparator" w:id="0">
    <w:p w14:paraId="6FFA790C" w14:textId="77777777" w:rsidR="00965CCC" w:rsidRDefault="00965CCC" w:rsidP="003A4B82">
      <w:r>
        <w:continuationSeparator/>
      </w:r>
    </w:p>
    <w:p w14:paraId="5DD08551" w14:textId="77777777" w:rsidR="00FF7344" w:rsidRDefault="00FF7344" w:rsidP="003A4B82"/>
    <w:p w14:paraId="2C8FED60" w14:textId="77777777" w:rsidR="00FF7344" w:rsidRDefault="00FF7344" w:rsidP="003A4B82"/>
    <w:p w14:paraId="49BDED11" w14:textId="77777777" w:rsidR="00FF7344" w:rsidRDefault="00FF7344" w:rsidP="003A4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7627" w14:textId="77777777" w:rsidR="00BF4A19" w:rsidRPr="00BF4A19" w:rsidRDefault="00BF4A19" w:rsidP="00BF4A19">
    <w:pPr>
      <w:pStyle w:val="Header"/>
      <w:rPr>
        <w:rStyle w:val="SubtleEmphasis"/>
      </w:rPr>
    </w:pPr>
    <w:r w:rsidRPr="00BF4A19">
      <w:rPr>
        <w:rStyle w:val="SubtleEmphasis"/>
      </w:rPr>
      <w:t>Scottish Paediatric and Adolescent Rheumatology Network</w:t>
    </w:r>
  </w:p>
  <w:p w14:paraId="32384AD5" w14:textId="63F0048E" w:rsidR="00382E4B" w:rsidRPr="00BF4A19" w:rsidRDefault="00A04DC4" w:rsidP="00DC3216">
    <w:pPr>
      <w:pStyle w:val="Header"/>
      <w:rPr>
        <w:rStyle w:val="Emphasis"/>
        <w:rFonts w:eastAsiaTheme="minorHAnsi"/>
        <w:b/>
        <w:bCs w:val="0"/>
        <w:color w:val="000000" w:themeColor="text1"/>
        <w:lang w:eastAsia="en-US"/>
      </w:rPr>
    </w:pPr>
    <w:r>
      <w:rPr>
        <w:rStyle w:val="SubtleEmphasis"/>
        <w:b w:val="0"/>
        <w:bCs/>
      </w:rPr>
      <w:t>SPARN statement on flu vaccination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666E" w14:textId="64CB1124" w:rsidR="00AE514B" w:rsidRDefault="00535327" w:rsidP="003A4B82">
    <w:pPr>
      <w:pStyle w:val="Header"/>
    </w:pPr>
    <w:r>
      <w:rPr>
        <w:noProof/>
      </w:rPr>
      <mc:AlternateContent>
        <mc:Choice Requires="wps">
          <w:drawing>
            <wp:anchor distT="0" distB="0" distL="114300" distR="114300" simplePos="0" relativeHeight="251663360" behindDoc="0" locked="0" layoutInCell="1" allowOverlap="1" wp14:anchorId="25137AF5" wp14:editId="7E0CEBA3">
              <wp:simplePos x="0" y="0"/>
              <wp:positionH relativeFrom="column">
                <wp:posOffset>-1990725</wp:posOffset>
              </wp:positionH>
              <wp:positionV relativeFrom="paragraph">
                <wp:posOffset>-1880529</wp:posOffset>
              </wp:positionV>
              <wp:extent cx="9664065" cy="3971238"/>
              <wp:effectExtent l="0" t="819150" r="0" b="829945"/>
              <wp:wrapNone/>
              <wp:docPr id="1" name="Wav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20376783">
                        <a:off x="0" y="0"/>
                        <a:ext cx="9664065" cy="3971238"/>
                      </a:xfrm>
                      <a:prstGeom prst="wave">
                        <a:avLst>
                          <a:gd name="adj1" fmla="val 20000"/>
                          <a:gd name="adj2" fmla="val -2017"/>
                        </a:avLst>
                      </a:prstGeom>
                      <a:solidFill>
                        <a:srgbClr val="004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9EDF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alt="&quot;&quot;" style="position:absolute;margin-left:-156.75pt;margin-top:-148.05pt;width:760.95pt;height:312.7pt;rotation:-13360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22rQIAAMAFAAAOAAAAZHJzL2Uyb0RvYy54bWysVEtv2zAMvg/YfxB0b+04zwZ1iqBFhwFF&#10;V6wdelZkKfYgi5qkxMl+/Sj5kWwtdhh2EUSR/Eh+Inl9c6gV2QvrKtA5HV2mlAjNoaj0NqffXu4v&#10;FpQ4z3TBFGiR06Nw9Gb18cN1Y5YigxJUISxBEO2Wjclp6b1ZJonjpaiZuwQjNCol2Jp5FO02KSxr&#10;EL1WSZams6QBWxgLXDiHr3etkq4ivpSC+y9SOuGJyinm5uNp47kJZ7K6ZsutZaaseJcG+4csalZp&#10;DDpA3THPyM5Wb6DqiltwIP0lhzoBKSsuYg1YzSj9o5rnkhkRa0FynBlocv8Plj/un82TRRoa45YO&#10;r6GKg7Q1sYBsZel4PpsvxrE4TJccInfHgTtx8ITj49VsNklnU0o46sZX81E2XgR2kxYtoBrr/CcB&#10;NQmXnDZsH4pjS7Z/cD6SVxDNauwSVnwfUSJrhX+xZ4rgT6f9X53ZZOc2F0jgvIvYIWLsPmaAd6Cq&#10;4r5SKgp2u7lVliA81pJO5otp5/ybmdLBWENwa6sJL8mJrHjzRyWCndJfhSRVgXxksbTYx2KIwzgX&#10;2o9aVckK0Yaf9uVhwoNHpC4CBmSJ8QfsDiDMyFvsNsvOPriKOAaDc/q3xFrnwSNGBu0H57rSYN8D&#10;UFhVF7m170lqqQksbaA4Ptm2rXAUneH3FTbCA3P+iVn8aXzETeK/4CEVNDmF7kZJCfbne+/BHocB&#10;tZQ0OMU5dT92zApK1GeNY3I1mkzC2EdhMp1nKNhzzeZco3f1LWA7YO9hdvEa7L3qr9JC/YoLZx2i&#10;ooppjrFzyr3thVvfbhdcWVys19EMR90w/6CfDQ/ggdXQly+HV2ZNNw0eB+kR+onvhqJl9GQbPDWs&#10;dx5k5YPyxGsn4JqIjdOttLCHzuVodVq8q18AAAD//wMAUEsDBBQABgAIAAAAIQC2CsrA5AAAAA4B&#10;AAAPAAAAZHJzL2Rvd25yZXYueG1sTI+xTsMwEIZ3JN7BOiS21o5T2ibEqaAC1IGFFujqxm4SYZ+j&#10;2GnTt8edYLvTffrv+4vVaA056d63DgUkUwZEY+VUi7WAz93rZAnEB4lKGodawEV7WJW3N4XMlTvj&#10;hz5tQ01iCPpcCmhC6HJKfdVoK/3UdRrj7eh6K0Nc+5qqXp5juDWUMzanVrYYPzSy0+tGVz/bwQoY&#10;jvvZy2Vh6uf3rz3/3qzfWNZzIe7vxqdHIEGP4Q+Gq35UhzI6HdyAyhMjYJIm6UNk48SzeQLkynC2&#10;nAE5CEh5lgItC/q/RvkLAAD//wMAUEsBAi0AFAAGAAgAAAAhALaDOJL+AAAA4QEAABMAAAAAAAAA&#10;AAAAAAAAAAAAAFtDb250ZW50X1R5cGVzXS54bWxQSwECLQAUAAYACAAAACEAOP0h/9YAAACUAQAA&#10;CwAAAAAAAAAAAAAAAAAvAQAAX3JlbHMvLnJlbHNQSwECLQAUAAYACAAAACEAn7Cttq0CAADABQAA&#10;DgAAAAAAAAAAAAAAAAAuAgAAZHJzL2Uyb0RvYy54bWxQSwECLQAUAAYACAAAACEAtgrKwOQAAAAO&#10;AQAADwAAAAAAAAAAAAAAAAAHBQAAZHJzL2Rvd25yZXYueG1sUEsFBgAAAAAEAAQA8wAAABgGAAAA&#10;AA==&#10;" adj="4320,10364" fillcolor="#004785" stroked="f" strokeweight="2pt"/>
          </w:pict>
        </mc:Fallback>
      </mc:AlternateContent>
    </w:r>
  </w:p>
  <w:p w14:paraId="098B9EBB" w14:textId="77777777" w:rsidR="00FF7344" w:rsidRDefault="00FF7344" w:rsidP="003A4B82"/>
  <w:p w14:paraId="08E04F55" w14:textId="77777777" w:rsidR="00FF7344" w:rsidRDefault="00FF7344" w:rsidP="003A4B82"/>
  <w:p w14:paraId="533EA8C0" w14:textId="77777777" w:rsidR="00FF7344" w:rsidRDefault="00FF7344" w:rsidP="003A4B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D9"/>
    <w:multiLevelType w:val="hybridMultilevel"/>
    <w:tmpl w:val="A2EE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35F83"/>
    <w:multiLevelType w:val="hybridMultilevel"/>
    <w:tmpl w:val="F19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59A0"/>
    <w:multiLevelType w:val="hybridMultilevel"/>
    <w:tmpl w:val="FAE4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96B32"/>
    <w:multiLevelType w:val="hybridMultilevel"/>
    <w:tmpl w:val="E7F8BD40"/>
    <w:lvl w:ilvl="0" w:tplc="7A6C23E2">
      <w:start w:val="14"/>
      <w:numFmt w:val="bullet"/>
      <w:lvlText w:val=""/>
      <w:lvlJc w:val="left"/>
      <w:pPr>
        <w:ind w:left="644" w:hanging="360"/>
      </w:pPr>
      <w:rPr>
        <w:rFonts w:ascii="Symbol" w:eastAsiaTheme="minorHAnsi" w:hAnsi="Symbol" w:cs="TimesNewRomanPSMT"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C4562E2"/>
    <w:multiLevelType w:val="hybridMultilevel"/>
    <w:tmpl w:val="CF36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D14DE"/>
    <w:multiLevelType w:val="hybridMultilevel"/>
    <w:tmpl w:val="83143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77EBB"/>
    <w:multiLevelType w:val="hybridMultilevel"/>
    <w:tmpl w:val="B058B1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84230"/>
    <w:multiLevelType w:val="hybridMultilevel"/>
    <w:tmpl w:val="2BA484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E1265A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D916D7"/>
    <w:multiLevelType w:val="hybridMultilevel"/>
    <w:tmpl w:val="F5CC2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CD1E69"/>
    <w:multiLevelType w:val="hybridMultilevel"/>
    <w:tmpl w:val="A8FA2516"/>
    <w:lvl w:ilvl="0" w:tplc="084CC672">
      <w:start w:val="1"/>
      <w:numFmt w:val="decimal"/>
      <w:pStyle w:val="Heading2"/>
      <w:lvlText w:val="%1."/>
      <w:lvlJc w:val="left"/>
      <w:pPr>
        <w:ind w:left="720" w:hanging="360"/>
      </w:pPr>
      <w:rPr>
        <w:rFonts w:hint="default"/>
        <w:color w:val="00A2E5"/>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A4AB7"/>
    <w:multiLevelType w:val="hybridMultilevel"/>
    <w:tmpl w:val="202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62A84"/>
    <w:multiLevelType w:val="hybridMultilevel"/>
    <w:tmpl w:val="BBA8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737DC"/>
    <w:multiLevelType w:val="hybridMultilevel"/>
    <w:tmpl w:val="A4C821F8"/>
    <w:lvl w:ilvl="0" w:tplc="BCA82B26">
      <w:start w:val="14"/>
      <w:numFmt w:val="bullet"/>
      <w:lvlText w:val=""/>
      <w:lvlJc w:val="left"/>
      <w:pPr>
        <w:ind w:left="643" w:hanging="360"/>
      </w:pPr>
      <w:rPr>
        <w:rFonts w:ascii="Symbol" w:eastAsiaTheme="minorHAnsi" w:hAnsi="Symbo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3" w15:restartNumberingAfterBreak="0">
    <w:nsid w:val="1D742F96"/>
    <w:multiLevelType w:val="hybridMultilevel"/>
    <w:tmpl w:val="7B283D50"/>
    <w:lvl w:ilvl="0" w:tplc="301039D0">
      <w:start w:val="3"/>
      <w:numFmt w:val="bullet"/>
      <w:lvlText w:val=""/>
      <w:lvlJc w:val="left"/>
      <w:pPr>
        <w:ind w:left="2160" w:hanging="360"/>
      </w:pPr>
      <w:rPr>
        <w:rFonts w:ascii="Wingdings" w:eastAsia="Times New Roman" w:hAnsi="Wingdings" w:cs="Trebuchet M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0C13A63"/>
    <w:multiLevelType w:val="hybridMultilevel"/>
    <w:tmpl w:val="36B2C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368B5"/>
    <w:multiLevelType w:val="hybridMultilevel"/>
    <w:tmpl w:val="1786A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C474C"/>
    <w:multiLevelType w:val="hybridMultilevel"/>
    <w:tmpl w:val="0624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40B37"/>
    <w:multiLevelType w:val="hybridMultilevel"/>
    <w:tmpl w:val="39526144"/>
    <w:lvl w:ilvl="0" w:tplc="A952457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D6116E"/>
    <w:multiLevelType w:val="multilevel"/>
    <w:tmpl w:val="ABE60260"/>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3"/>
      <w:numFmt w:val="bullet"/>
      <w:lvlText w:val=""/>
      <w:lvlJc w:val="left"/>
      <w:rPr>
        <w:rFonts w:ascii="Wingdings" w:eastAsia="Times New Roman" w:hAnsi="Wingdings" w:cs="Trebuchet MS" w:hint="default"/>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19" w15:restartNumberingAfterBreak="0">
    <w:nsid w:val="34235968"/>
    <w:multiLevelType w:val="hybridMultilevel"/>
    <w:tmpl w:val="8AC08FDA"/>
    <w:lvl w:ilvl="0" w:tplc="36B04B1E">
      <w:numFmt w:val="bullet"/>
      <w:lvlText w:val="•"/>
      <w:lvlJc w:val="left"/>
      <w:pPr>
        <w:ind w:left="1540" w:hanging="361"/>
      </w:pPr>
      <w:rPr>
        <w:rFonts w:ascii="Arial" w:eastAsia="Arial" w:hAnsi="Arial" w:cs="Arial" w:hint="default"/>
        <w:b w:val="0"/>
        <w:bCs w:val="0"/>
        <w:i w:val="0"/>
        <w:iCs w:val="0"/>
        <w:w w:val="131"/>
        <w:sz w:val="22"/>
        <w:szCs w:val="22"/>
        <w:lang w:val="en-US" w:eastAsia="en-US" w:bidi="ar-SA"/>
      </w:rPr>
    </w:lvl>
    <w:lvl w:ilvl="1" w:tplc="26887986">
      <w:numFmt w:val="bullet"/>
      <w:lvlText w:val="•"/>
      <w:lvlJc w:val="left"/>
      <w:pPr>
        <w:ind w:left="2382" w:hanging="361"/>
      </w:pPr>
      <w:rPr>
        <w:rFonts w:hint="default"/>
        <w:lang w:val="en-US" w:eastAsia="en-US" w:bidi="ar-SA"/>
      </w:rPr>
    </w:lvl>
    <w:lvl w:ilvl="2" w:tplc="86BA1B46">
      <w:numFmt w:val="bullet"/>
      <w:lvlText w:val="•"/>
      <w:lvlJc w:val="left"/>
      <w:pPr>
        <w:ind w:left="3225" w:hanging="361"/>
      </w:pPr>
      <w:rPr>
        <w:rFonts w:hint="default"/>
        <w:lang w:val="en-US" w:eastAsia="en-US" w:bidi="ar-SA"/>
      </w:rPr>
    </w:lvl>
    <w:lvl w:ilvl="3" w:tplc="8C68DC0E">
      <w:numFmt w:val="bullet"/>
      <w:lvlText w:val="•"/>
      <w:lvlJc w:val="left"/>
      <w:pPr>
        <w:ind w:left="4067" w:hanging="361"/>
      </w:pPr>
      <w:rPr>
        <w:rFonts w:hint="default"/>
        <w:lang w:val="en-US" w:eastAsia="en-US" w:bidi="ar-SA"/>
      </w:rPr>
    </w:lvl>
    <w:lvl w:ilvl="4" w:tplc="C3D2CF9A">
      <w:numFmt w:val="bullet"/>
      <w:lvlText w:val="•"/>
      <w:lvlJc w:val="left"/>
      <w:pPr>
        <w:ind w:left="4910" w:hanging="361"/>
      </w:pPr>
      <w:rPr>
        <w:rFonts w:hint="default"/>
        <w:lang w:val="en-US" w:eastAsia="en-US" w:bidi="ar-SA"/>
      </w:rPr>
    </w:lvl>
    <w:lvl w:ilvl="5" w:tplc="0430090E">
      <w:numFmt w:val="bullet"/>
      <w:lvlText w:val="•"/>
      <w:lvlJc w:val="left"/>
      <w:pPr>
        <w:ind w:left="5753" w:hanging="361"/>
      </w:pPr>
      <w:rPr>
        <w:rFonts w:hint="default"/>
        <w:lang w:val="en-US" w:eastAsia="en-US" w:bidi="ar-SA"/>
      </w:rPr>
    </w:lvl>
    <w:lvl w:ilvl="6" w:tplc="A34A009A">
      <w:numFmt w:val="bullet"/>
      <w:lvlText w:val="•"/>
      <w:lvlJc w:val="left"/>
      <w:pPr>
        <w:ind w:left="6595" w:hanging="361"/>
      </w:pPr>
      <w:rPr>
        <w:rFonts w:hint="default"/>
        <w:lang w:val="en-US" w:eastAsia="en-US" w:bidi="ar-SA"/>
      </w:rPr>
    </w:lvl>
    <w:lvl w:ilvl="7" w:tplc="57804A5A">
      <w:numFmt w:val="bullet"/>
      <w:lvlText w:val="•"/>
      <w:lvlJc w:val="left"/>
      <w:pPr>
        <w:ind w:left="7438" w:hanging="361"/>
      </w:pPr>
      <w:rPr>
        <w:rFonts w:hint="default"/>
        <w:lang w:val="en-US" w:eastAsia="en-US" w:bidi="ar-SA"/>
      </w:rPr>
    </w:lvl>
    <w:lvl w:ilvl="8" w:tplc="CFA81476">
      <w:numFmt w:val="bullet"/>
      <w:lvlText w:val="•"/>
      <w:lvlJc w:val="left"/>
      <w:pPr>
        <w:ind w:left="8281" w:hanging="361"/>
      </w:pPr>
      <w:rPr>
        <w:rFonts w:hint="default"/>
        <w:lang w:val="en-US" w:eastAsia="en-US" w:bidi="ar-SA"/>
      </w:rPr>
    </w:lvl>
  </w:abstractNum>
  <w:abstractNum w:abstractNumId="20" w15:restartNumberingAfterBreak="0">
    <w:nsid w:val="363266A2"/>
    <w:multiLevelType w:val="hybridMultilevel"/>
    <w:tmpl w:val="24A2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9354F1"/>
    <w:multiLevelType w:val="hybridMultilevel"/>
    <w:tmpl w:val="DBDE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02B07"/>
    <w:multiLevelType w:val="hybridMultilevel"/>
    <w:tmpl w:val="DFF8C51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E48070C"/>
    <w:multiLevelType w:val="hybridMultilevel"/>
    <w:tmpl w:val="85101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56A5E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C3544"/>
    <w:multiLevelType w:val="hybridMultilevel"/>
    <w:tmpl w:val="77E6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84B84"/>
    <w:multiLevelType w:val="hybridMultilevel"/>
    <w:tmpl w:val="EEFE4174"/>
    <w:lvl w:ilvl="0" w:tplc="CB1A32BE">
      <w:start w:val="1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C68793B"/>
    <w:multiLevelType w:val="hybridMultilevel"/>
    <w:tmpl w:val="4B72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4E3514BE"/>
    <w:multiLevelType w:val="hybridMultilevel"/>
    <w:tmpl w:val="D79E6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F2161D7"/>
    <w:multiLevelType w:val="hybridMultilevel"/>
    <w:tmpl w:val="2558EAE2"/>
    <w:lvl w:ilvl="0" w:tplc="71C86FD0">
      <w:start w:val="1"/>
      <w:numFmt w:val="decimal"/>
      <w:lvlText w:val="%1)"/>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6E6A26"/>
    <w:multiLevelType w:val="hybridMultilevel"/>
    <w:tmpl w:val="C096C8F0"/>
    <w:lvl w:ilvl="0" w:tplc="B2AAAB50">
      <w:start w:val="6"/>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0" w15:restartNumberingAfterBreak="0">
    <w:nsid w:val="54423ABC"/>
    <w:multiLevelType w:val="hybridMultilevel"/>
    <w:tmpl w:val="4D66D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1BC9C66">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A46F3"/>
    <w:multiLevelType w:val="hybridMultilevel"/>
    <w:tmpl w:val="A15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F66620"/>
    <w:multiLevelType w:val="hybridMultilevel"/>
    <w:tmpl w:val="7F5C50D2"/>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9085B88"/>
    <w:multiLevelType w:val="hybridMultilevel"/>
    <w:tmpl w:val="52FA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529B2"/>
    <w:multiLevelType w:val="hybridMultilevel"/>
    <w:tmpl w:val="A0E8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F031E"/>
    <w:multiLevelType w:val="hybridMultilevel"/>
    <w:tmpl w:val="3850D0BA"/>
    <w:lvl w:ilvl="0" w:tplc="D07E216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6" w15:restartNumberingAfterBreak="0">
    <w:nsid w:val="5C01627F"/>
    <w:multiLevelType w:val="hybridMultilevel"/>
    <w:tmpl w:val="C33A2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20419"/>
    <w:multiLevelType w:val="hybridMultilevel"/>
    <w:tmpl w:val="7B389D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497CA3"/>
    <w:multiLevelType w:val="hybridMultilevel"/>
    <w:tmpl w:val="BAA4BE36"/>
    <w:lvl w:ilvl="0" w:tplc="0809000F">
      <w:start w:val="1"/>
      <w:numFmt w:val="decimal"/>
      <w:lvlText w:val="%1."/>
      <w:lvlJc w:val="left"/>
      <w:pPr>
        <w:ind w:left="3060" w:hanging="360"/>
      </w:p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9" w15:restartNumberingAfterBreak="0">
    <w:nsid w:val="638A6323"/>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0" w15:restartNumberingAfterBreak="0">
    <w:nsid w:val="681C5190"/>
    <w:multiLevelType w:val="hybridMultilevel"/>
    <w:tmpl w:val="AD9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17B41"/>
    <w:multiLevelType w:val="hybridMultilevel"/>
    <w:tmpl w:val="9D42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866AFE"/>
    <w:multiLevelType w:val="hybridMultilevel"/>
    <w:tmpl w:val="C50C0F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B842B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94C8A"/>
    <w:multiLevelType w:val="multilevel"/>
    <w:tmpl w:val="FFFFFFFF"/>
    <w:lvl w:ilvl="0">
      <w:numFmt w:val="bullet"/>
      <w:lvlText w:val="•"/>
      <w:lvlJc w:val="left"/>
      <w:rPr>
        <w:rFonts w:ascii="Trebuchet MS" w:eastAsia="Times New Roman" w:hAnsi="Trebuchet MS"/>
        <w:position w:val="0"/>
      </w:rPr>
    </w:lvl>
    <w:lvl w:ilvl="1">
      <w:start w:val="1"/>
      <w:numFmt w:val="bullet"/>
      <w:lvlText w:val="o"/>
      <w:lvlJc w:val="left"/>
      <w:rPr>
        <w:rFonts w:ascii="Calibri" w:eastAsia="Times New Roman" w:hAnsi="Calibri"/>
        <w:position w:val="0"/>
      </w:rPr>
    </w:lvl>
    <w:lvl w:ilvl="2">
      <w:start w:val="1"/>
      <w:numFmt w:val="bullet"/>
      <w:lvlText w:val="▪"/>
      <w:lvlJc w:val="left"/>
      <w:rPr>
        <w:rFonts w:ascii="Calibri" w:eastAsia="Times New Roman" w:hAnsi="Calibri"/>
        <w:position w:val="0"/>
      </w:rPr>
    </w:lvl>
    <w:lvl w:ilvl="3">
      <w:start w:val="1"/>
      <w:numFmt w:val="bullet"/>
      <w:lvlText w:val="•"/>
      <w:lvlJc w:val="left"/>
      <w:rPr>
        <w:rFonts w:ascii="Calibri" w:eastAsia="Times New Roman" w:hAnsi="Calibri"/>
        <w:position w:val="0"/>
      </w:rPr>
    </w:lvl>
    <w:lvl w:ilvl="4">
      <w:start w:val="1"/>
      <w:numFmt w:val="bullet"/>
      <w:lvlText w:val="o"/>
      <w:lvlJc w:val="left"/>
      <w:rPr>
        <w:rFonts w:ascii="Calibri" w:eastAsia="Times New Roman" w:hAnsi="Calibri"/>
        <w:position w:val="0"/>
      </w:rPr>
    </w:lvl>
    <w:lvl w:ilvl="5">
      <w:start w:val="1"/>
      <w:numFmt w:val="bullet"/>
      <w:lvlText w:val="▪"/>
      <w:lvlJc w:val="left"/>
      <w:rPr>
        <w:rFonts w:ascii="Calibri" w:eastAsia="Times New Roman" w:hAnsi="Calibri"/>
        <w:position w:val="0"/>
      </w:rPr>
    </w:lvl>
    <w:lvl w:ilvl="6">
      <w:start w:val="1"/>
      <w:numFmt w:val="bullet"/>
      <w:lvlText w:val="•"/>
      <w:lvlJc w:val="left"/>
      <w:rPr>
        <w:rFonts w:ascii="Calibri" w:eastAsia="Times New Roman" w:hAnsi="Calibri"/>
        <w:position w:val="0"/>
      </w:rPr>
    </w:lvl>
    <w:lvl w:ilvl="7">
      <w:start w:val="1"/>
      <w:numFmt w:val="bullet"/>
      <w:lvlText w:val="o"/>
      <w:lvlJc w:val="left"/>
      <w:rPr>
        <w:rFonts w:ascii="Calibri" w:eastAsia="Times New Roman" w:hAnsi="Calibri"/>
        <w:position w:val="0"/>
      </w:rPr>
    </w:lvl>
    <w:lvl w:ilvl="8">
      <w:start w:val="1"/>
      <w:numFmt w:val="bullet"/>
      <w:lvlText w:val="▪"/>
      <w:lvlJc w:val="left"/>
      <w:rPr>
        <w:rFonts w:ascii="Calibri" w:eastAsia="Times New Roman" w:hAnsi="Calibri"/>
        <w:position w:val="0"/>
      </w:rPr>
    </w:lvl>
  </w:abstractNum>
  <w:abstractNum w:abstractNumId="44" w15:restartNumberingAfterBreak="0">
    <w:nsid w:val="7BD2774E"/>
    <w:multiLevelType w:val="hybridMultilevel"/>
    <w:tmpl w:val="E34A29D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5" w15:restartNumberingAfterBreak="0">
    <w:nsid w:val="7D0D2016"/>
    <w:multiLevelType w:val="hybridMultilevel"/>
    <w:tmpl w:val="332A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BB0068"/>
    <w:multiLevelType w:val="hybridMultilevel"/>
    <w:tmpl w:val="289EB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9414842">
    <w:abstractNumId w:val="46"/>
  </w:num>
  <w:num w:numId="2" w16cid:durableId="1496602202">
    <w:abstractNumId w:val="41"/>
  </w:num>
  <w:num w:numId="3" w16cid:durableId="826942006">
    <w:abstractNumId w:val="16"/>
  </w:num>
  <w:num w:numId="4" w16cid:durableId="2045324570">
    <w:abstractNumId w:val="31"/>
  </w:num>
  <w:num w:numId="5" w16cid:durableId="1858352248">
    <w:abstractNumId w:val="26"/>
  </w:num>
  <w:num w:numId="6" w16cid:durableId="770667341">
    <w:abstractNumId w:val="5"/>
  </w:num>
  <w:num w:numId="7" w16cid:durableId="740102065">
    <w:abstractNumId w:val="24"/>
  </w:num>
  <w:num w:numId="8" w16cid:durableId="1265652528">
    <w:abstractNumId w:val="20"/>
  </w:num>
  <w:num w:numId="9" w16cid:durableId="1628588398">
    <w:abstractNumId w:val="34"/>
  </w:num>
  <w:num w:numId="10" w16cid:durableId="201744665">
    <w:abstractNumId w:val="10"/>
  </w:num>
  <w:num w:numId="11" w16cid:durableId="2052487090">
    <w:abstractNumId w:val="25"/>
  </w:num>
  <w:num w:numId="12" w16cid:durableId="969163586">
    <w:abstractNumId w:val="3"/>
  </w:num>
  <w:num w:numId="13" w16cid:durableId="107429083">
    <w:abstractNumId w:val="12"/>
  </w:num>
  <w:num w:numId="14" w16cid:durableId="17900805">
    <w:abstractNumId w:val="23"/>
  </w:num>
  <w:num w:numId="15" w16cid:durableId="1888562011">
    <w:abstractNumId w:val="4"/>
  </w:num>
  <w:num w:numId="16" w16cid:durableId="1957062262">
    <w:abstractNumId w:val="11"/>
  </w:num>
  <w:num w:numId="17" w16cid:durableId="13504803">
    <w:abstractNumId w:val="42"/>
  </w:num>
  <w:num w:numId="18" w16cid:durableId="482745875">
    <w:abstractNumId w:val="6"/>
  </w:num>
  <w:num w:numId="19" w16cid:durableId="141167886">
    <w:abstractNumId w:val="9"/>
  </w:num>
  <w:num w:numId="20" w16cid:durableId="2094888795">
    <w:abstractNumId w:val="7"/>
  </w:num>
  <w:num w:numId="21" w16cid:durableId="732392723">
    <w:abstractNumId w:val="32"/>
  </w:num>
  <w:num w:numId="22" w16cid:durableId="1159468105">
    <w:abstractNumId w:val="38"/>
  </w:num>
  <w:num w:numId="23" w16cid:durableId="547767506">
    <w:abstractNumId w:val="40"/>
  </w:num>
  <w:num w:numId="24" w16cid:durableId="1462459083">
    <w:abstractNumId w:val="17"/>
  </w:num>
  <w:num w:numId="25" w16cid:durableId="1533155488">
    <w:abstractNumId w:val="22"/>
  </w:num>
  <w:num w:numId="26" w16cid:durableId="821579547">
    <w:abstractNumId w:val="44"/>
  </w:num>
  <w:num w:numId="27" w16cid:durableId="1831408529">
    <w:abstractNumId w:val="27"/>
  </w:num>
  <w:num w:numId="28" w16cid:durableId="707728401">
    <w:abstractNumId w:val="8"/>
  </w:num>
  <w:num w:numId="29" w16cid:durableId="1583098288">
    <w:abstractNumId w:val="21"/>
  </w:num>
  <w:num w:numId="30" w16cid:durableId="22639150">
    <w:abstractNumId w:val="33"/>
  </w:num>
  <w:num w:numId="31" w16cid:durableId="834960158">
    <w:abstractNumId w:val="1"/>
  </w:num>
  <w:num w:numId="32" w16cid:durableId="156188046">
    <w:abstractNumId w:val="30"/>
  </w:num>
  <w:num w:numId="33" w16cid:durableId="751439618">
    <w:abstractNumId w:val="18"/>
  </w:num>
  <w:num w:numId="34" w16cid:durableId="1650984602">
    <w:abstractNumId w:val="39"/>
  </w:num>
  <w:num w:numId="35" w16cid:durableId="1836870721">
    <w:abstractNumId w:val="43"/>
  </w:num>
  <w:num w:numId="36" w16cid:durableId="1459909323">
    <w:abstractNumId w:val="0"/>
  </w:num>
  <w:num w:numId="37" w16cid:durableId="400713189">
    <w:abstractNumId w:val="13"/>
  </w:num>
  <w:num w:numId="38" w16cid:durableId="1063987468">
    <w:abstractNumId w:val="28"/>
  </w:num>
  <w:num w:numId="39" w16cid:durableId="1037120990">
    <w:abstractNumId w:val="2"/>
  </w:num>
  <w:num w:numId="40" w16cid:durableId="274950979">
    <w:abstractNumId w:val="15"/>
  </w:num>
  <w:num w:numId="41" w16cid:durableId="656300419">
    <w:abstractNumId w:val="36"/>
  </w:num>
  <w:num w:numId="42" w16cid:durableId="20505683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0040981">
    <w:abstractNumId w:val="45"/>
  </w:num>
  <w:num w:numId="44" w16cid:durableId="1084062335">
    <w:abstractNumId w:val="19"/>
  </w:num>
  <w:num w:numId="45" w16cid:durableId="989141430">
    <w:abstractNumId w:val="35"/>
  </w:num>
  <w:num w:numId="46" w16cid:durableId="364060489">
    <w:abstractNumId w:val="29"/>
  </w:num>
  <w:num w:numId="47" w16cid:durableId="196981921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colormru v:ext="edit" colors="#004785,#00a2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826"/>
    <w:rsid w:val="000177A8"/>
    <w:rsid w:val="00025B02"/>
    <w:rsid w:val="00032C55"/>
    <w:rsid w:val="00036824"/>
    <w:rsid w:val="0003731A"/>
    <w:rsid w:val="00050EA6"/>
    <w:rsid w:val="0005672E"/>
    <w:rsid w:val="000860D3"/>
    <w:rsid w:val="00094FC9"/>
    <w:rsid w:val="001166B5"/>
    <w:rsid w:val="00162C2C"/>
    <w:rsid w:val="001A4774"/>
    <w:rsid w:val="001A487F"/>
    <w:rsid w:val="001A71ED"/>
    <w:rsid w:val="001B4068"/>
    <w:rsid w:val="001C3967"/>
    <w:rsid w:val="001F6C59"/>
    <w:rsid w:val="0020605E"/>
    <w:rsid w:val="00221AEE"/>
    <w:rsid w:val="0023787D"/>
    <w:rsid w:val="00243032"/>
    <w:rsid w:val="00245111"/>
    <w:rsid w:val="00295F59"/>
    <w:rsid w:val="002B31E6"/>
    <w:rsid w:val="00301DFA"/>
    <w:rsid w:val="003259EB"/>
    <w:rsid w:val="003519F4"/>
    <w:rsid w:val="00371997"/>
    <w:rsid w:val="00382E4B"/>
    <w:rsid w:val="00384B46"/>
    <w:rsid w:val="00392132"/>
    <w:rsid w:val="003A2C06"/>
    <w:rsid w:val="003A4B82"/>
    <w:rsid w:val="003B5EC3"/>
    <w:rsid w:val="003D4CA1"/>
    <w:rsid w:val="003F5E0D"/>
    <w:rsid w:val="00414C9C"/>
    <w:rsid w:val="00417CE0"/>
    <w:rsid w:val="00457071"/>
    <w:rsid w:val="00472D90"/>
    <w:rsid w:val="004A4F18"/>
    <w:rsid w:val="00532963"/>
    <w:rsid w:val="00535327"/>
    <w:rsid w:val="005526F3"/>
    <w:rsid w:val="005A1EDC"/>
    <w:rsid w:val="005A3C7F"/>
    <w:rsid w:val="005C3338"/>
    <w:rsid w:val="005C7FDD"/>
    <w:rsid w:val="005E664B"/>
    <w:rsid w:val="005F44B0"/>
    <w:rsid w:val="0062327F"/>
    <w:rsid w:val="00634E88"/>
    <w:rsid w:val="00641E11"/>
    <w:rsid w:val="006827B9"/>
    <w:rsid w:val="00682E4F"/>
    <w:rsid w:val="006843A9"/>
    <w:rsid w:val="006F0B75"/>
    <w:rsid w:val="007D0D7E"/>
    <w:rsid w:val="00803CE0"/>
    <w:rsid w:val="00812923"/>
    <w:rsid w:val="008737A7"/>
    <w:rsid w:val="00882826"/>
    <w:rsid w:val="008830A7"/>
    <w:rsid w:val="00887584"/>
    <w:rsid w:val="008B66AB"/>
    <w:rsid w:val="008D1CE1"/>
    <w:rsid w:val="008D4A72"/>
    <w:rsid w:val="008E4062"/>
    <w:rsid w:val="008E5211"/>
    <w:rsid w:val="008F59F7"/>
    <w:rsid w:val="00965CCC"/>
    <w:rsid w:val="00970490"/>
    <w:rsid w:val="00971EA3"/>
    <w:rsid w:val="009945FD"/>
    <w:rsid w:val="009A4EB2"/>
    <w:rsid w:val="009B6AC6"/>
    <w:rsid w:val="009C1358"/>
    <w:rsid w:val="009D1AC6"/>
    <w:rsid w:val="009D4F8F"/>
    <w:rsid w:val="009F6834"/>
    <w:rsid w:val="00A04DC4"/>
    <w:rsid w:val="00A22622"/>
    <w:rsid w:val="00A306FA"/>
    <w:rsid w:val="00A70944"/>
    <w:rsid w:val="00AA0C8F"/>
    <w:rsid w:val="00AA4213"/>
    <w:rsid w:val="00AC78E1"/>
    <w:rsid w:val="00AE514B"/>
    <w:rsid w:val="00B049BA"/>
    <w:rsid w:val="00B25C9D"/>
    <w:rsid w:val="00B61AD9"/>
    <w:rsid w:val="00B6404B"/>
    <w:rsid w:val="00BA372B"/>
    <w:rsid w:val="00BF4A19"/>
    <w:rsid w:val="00BF7474"/>
    <w:rsid w:val="00C10D8B"/>
    <w:rsid w:val="00C36CE7"/>
    <w:rsid w:val="00C63425"/>
    <w:rsid w:val="00C81BE9"/>
    <w:rsid w:val="00C95390"/>
    <w:rsid w:val="00CB0B9B"/>
    <w:rsid w:val="00CC1230"/>
    <w:rsid w:val="00D60669"/>
    <w:rsid w:val="00D74871"/>
    <w:rsid w:val="00DC3216"/>
    <w:rsid w:val="00DD1A99"/>
    <w:rsid w:val="00DE078E"/>
    <w:rsid w:val="00E05122"/>
    <w:rsid w:val="00E33574"/>
    <w:rsid w:val="00E4686A"/>
    <w:rsid w:val="00E72699"/>
    <w:rsid w:val="00E75020"/>
    <w:rsid w:val="00EC23F5"/>
    <w:rsid w:val="00EE2B12"/>
    <w:rsid w:val="00EE4195"/>
    <w:rsid w:val="00F277C7"/>
    <w:rsid w:val="00F41042"/>
    <w:rsid w:val="00F53303"/>
    <w:rsid w:val="00F7376B"/>
    <w:rsid w:val="00F81525"/>
    <w:rsid w:val="00FA31BC"/>
    <w:rsid w:val="00FB3B4D"/>
    <w:rsid w:val="00FB5AE5"/>
    <w:rsid w:val="00FE1D59"/>
    <w:rsid w:val="00FF069A"/>
    <w:rsid w:val="00FF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4785,#00a2e5"/>
    </o:shapedefaults>
    <o:shapelayout v:ext="edit">
      <o:idmap v:ext="edit" data="2"/>
    </o:shapelayout>
  </w:shapeDefaults>
  <w:decimalSymbol w:val="."/>
  <w:listSeparator w:val=","/>
  <w14:docId w14:val="4128D80F"/>
  <w15:docId w15:val="{35471F8A-6F4F-442D-9B84-16C3146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82"/>
    <w:pPr>
      <w:spacing w:after="0" w:line="240" w:lineRule="auto"/>
    </w:pPr>
    <w:rPr>
      <w:rFonts w:ascii="Arial" w:eastAsiaTheme="minorEastAsia" w:hAnsi="Arial" w:cs="Arial"/>
      <w:color w:val="000000" w:themeColor="text1"/>
      <w:sz w:val="24"/>
      <w:szCs w:val="24"/>
      <w:lang w:eastAsia="en-GB"/>
    </w:rPr>
  </w:style>
  <w:style w:type="paragraph" w:styleId="Heading1">
    <w:name w:val="heading 1"/>
    <w:basedOn w:val="Normal"/>
    <w:next w:val="Normal"/>
    <w:link w:val="Heading1Char"/>
    <w:uiPriority w:val="9"/>
    <w:qFormat/>
    <w:rsid w:val="003A4B82"/>
    <w:pPr>
      <w:spacing w:after="120"/>
      <w:outlineLvl w:val="0"/>
    </w:pPr>
    <w:rPr>
      <w:rFonts w:eastAsiaTheme="minorHAnsi"/>
      <w:b/>
      <w:color w:val="004785"/>
      <w:sz w:val="32"/>
      <w:szCs w:val="32"/>
      <w:lang w:eastAsia="en-US"/>
    </w:rPr>
  </w:style>
  <w:style w:type="paragraph" w:styleId="Heading2">
    <w:name w:val="heading 2"/>
    <w:basedOn w:val="Normal"/>
    <w:next w:val="Normal"/>
    <w:link w:val="Heading2Char"/>
    <w:uiPriority w:val="9"/>
    <w:unhideWhenUsed/>
    <w:qFormat/>
    <w:rsid w:val="00532963"/>
    <w:pPr>
      <w:numPr>
        <w:numId w:val="19"/>
      </w:numPr>
      <w:spacing w:after="120" w:line="276" w:lineRule="auto"/>
      <w:ind w:left="425" w:hanging="425"/>
      <w:contextualSpacing/>
      <w:outlineLvl w:val="1"/>
    </w:pPr>
    <w:rPr>
      <w:rFonts w:eastAsiaTheme="minorHAnsi"/>
      <w:b/>
      <w:color w:val="00A2E5"/>
      <w:sz w:val="28"/>
      <w:szCs w:val="28"/>
      <w:lang w:eastAsia="en-US"/>
    </w:rPr>
  </w:style>
  <w:style w:type="paragraph" w:styleId="Heading3">
    <w:name w:val="heading 3"/>
    <w:basedOn w:val="Normal"/>
    <w:next w:val="Normal"/>
    <w:link w:val="Heading3Char"/>
    <w:uiPriority w:val="9"/>
    <w:semiHidden/>
    <w:unhideWhenUsed/>
    <w:qFormat/>
    <w:rsid w:val="00DC321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AD9"/>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B61AD9"/>
  </w:style>
  <w:style w:type="paragraph" w:styleId="Footer">
    <w:name w:val="footer"/>
    <w:basedOn w:val="Normal"/>
    <w:link w:val="FooterChar"/>
    <w:uiPriority w:val="99"/>
    <w:unhideWhenUsed/>
    <w:rsid w:val="00B61AD9"/>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B61AD9"/>
  </w:style>
  <w:style w:type="paragraph" w:styleId="BalloonText">
    <w:name w:val="Balloon Text"/>
    <w:basedOn w:val="Normal"/>
    <w:link w:val="BalloonTextChar"/>
    <w:uiPriority w:val="99"/>
    <w:semiHidden/>
    <w:unhideWhenUsed/>
    <w:rsid w:val="00AA0C8F"/>
    <w:rPr>
      <w:rFonts w:ascii="Tahoma" w:hAnsi="Tahoma" w:cs="Tahoma"/>
      <w:sz w:val="16"/>
      <w:szCs w:val="16"/>
    </w:rPr>
  </w:style>
  <w:style w:type="character" w:customStyle="1" w:styleId="BalloonTextChar">
    <w:name w:val="Balloon Text Char"/>
    <w:basedOn w:val="DefaultParagraphFont"/>
    <w:link w:val="BalloonText"/>
    <w:uiPriority w:val="99"/>
    <w:semiHidden/>
    <w:rsid w:val="00AA0C8F"/>
    <w:rPr>
      <w:rFonts w:ascii="Tahoma" w:hAnsi="Tahoma" w:cs="Tahoma"/>
      <w:sz w:val="16"/>
      <w:szCs w:val="16"/>
    </w:rPr>
  </w:style>
  <w:style w:type="paragraph" w:styleId="ListParagraph">
    <w:name w:val="List Paragraph"/>
    <w:basedOn w:val="Normal"/>
    <w:uiPriority w:val="1"/>
    <w:qFormat/>
    <w:rsid w:val="00812923"/>
    <w:pPr>
      <w:ind w:left="720"/>
      <w:contextualSpacing/>
    </w:pPr>
  </w:style>
  <w:style w:type="character" w:customStyle="1" w:styleId="Heading2Char">
    <w:name w:val="Heading 2 Char"/>
    <w:basedOn w:val="DefaultParagraphFont"/>
    <w:link w:val="Heading2"/>
    <w:uiPriority w:val="9"/>
    <w:rsid w:val="00532963"/>
    <w:rPr>
      <w:rFonts w:ascii="Arial" w:hAnsi="Arial" w:cs="Arial"/>
      <w:b/>
      <w:color w:val="00A2E5"/>
      <w:sz w:val="28"/>
      <w:szCs w:val="28"/>
    </w:rPr>
  </w:style>
  <w:style w:type="paragraph" w:customStyle="1" w:styleId="Default">
    <w:name w:val="Default"/>
    <w:rsid w:val="000177A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9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A72"/>
    <w:rPr>
      <w:sz w:val="16"/>
      <w:szCs w:val="16"/>
    </w:rPr>
  </w:style>
  <w:style w:type="paragraph" w:styleId="CommentText">
    <w:name w:val="annotation text"/>
    <w:basedOn w:val="Normal"/>
    <w:link w:val="CommentTextChar"/>
    <w:uiPriority w:val="99"/>
    <w:semiHidden/>
    <w:unhideWhenUsed/>
    <w:rsid w:val="008D4A72"/>
    <w:rPr>
      <w:sz w:val="20"/>
      <w:szCs w:val="20"/>
    </w:rPr>
  </w:style>
  <w:style w:type="character" w:customStyle="1" w:styleId="CommentTextChar">
    <w:name w:val="Comment Text Char"/>
    <w:basedOn w:val="DefaultParagraphFont"/>
    <w:link w:val="CommentText"/>
    <w:uiPriority w:val="99"/>
    <w:semiHidden/>
    <w:rsid w:val="008D4A7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D4A72"/>
    <w:rPr>
      <w:b/>
      <w:bCs/>
    </w:rPr>
  </w:style>
  <w:style w:type="character" w:customStyle="1" w:styleId="CommentSubjectChar">
    <w:name w:val="Comment Subject Char"/>
    <w:basedOn w:val="CommentTextChar"/>
    <w:link w:val="CommentSubject"/>
    <w:uiPriority w:val="99"/>
    <w:semiHidden/>
    <w:rsid w:val="008D4A72"/>
    <w:rPr>
      <w:rFonts w:eastAsiaTheme="minorEastAsia"/>
      <w:b/>
      <w:bCs/>
      <w:sz w:val="20"/>
      <w:szCs w:val="20"/>
      <w:lang w:eastAsia="en-GB"/>
    </w:rPr>
  </w:style>
  <w:style w:type="paragraph" w:styleId="Revision">
    <w:name w:val="Revision"/>
    <w:hidden/>
    <w:uiPriority w:val="99"/>
    <w:semiHidden/>
    <w:rsid w:val="008D4A72"/>
    <w:pPr>
      <w:spacing w:after="0" w:line="240" w:lineRule="auto"/>
    </w:pPr>
    <w:rPr>
      <w:rFonts w:eastAsiaTheme="minorEastAsia"/>
      <w:lang w:eastAsia="en-GB"/>
    </w:rPr>
  </w:style>
  <w:style w:type="paragraph" w:styleId="Caption">
    <w:name w:val="caption"/>
    <w:basedOn w:val="Normal"/>
    <w:next w:val="Normal"/>
    <w:uiPriority w:val="35"/>
    <w:unhideWhenUsed/>
    <w:qFormat/>
    <w:rsid w:val="009B6AC6"/>
    <w:rPr>
      <w:b/>
      <w:bCs/>
      <w:color w:val="4F81BD" w:themeColor="accent1"/>
      <w:sz w:val="18"/>
      <w:szCs w:val="18"/>
    </w:rPr>
  </w:style>
  <w:style w:type="character" w:styleId="Hyperlink">
    <w:name w:val="Hyperlink"/>
    <w:basedOn w:val="DefaultParagraphFont"/>
    <w:uiPriority w:val="99"/>
    <w:unhideWhenUsed/>
    <w:rsid w:val="00FA31BC"/>
    <w:rPr>
      <w:color w:val="0000FF" w:themeColor="hyperlink"/>
      <w:u w:val="single"/>
    </w:rPr>
  </w:style>
  <w:style w:type="character" w:styleId="UnresolvedMention">
    <w:name w:val="Unresolved Mention"/>
    <w:basedOn w:val="DefaultParagraphFont"/>
    <w:uiPriority w:val="99"/>
    <w:semiHidden/>
    <w:unhideWhenUsed/>
    <w:rsid w:val="00094FC9"/>
    <w:rPr>
      <w:color w:val="605E5C"/>
      <w:shd w:val="clear" w:color="auto" w:fill="E1DFDD"/>
    </w:rPr>
  </w:style>
  <w:style w:type="character" w:customStyle="1" w:styleId="Heading1Char">
    <w:name w:val="Heading 1 Char"/>
    <w:basedOn w:val="DefaultParagraphFont"/>
    <w:link w:val="Heading1"/>
    <w:uiPriority w:val="9"/>
    <w:rsid w:val="003A4B82"/>
    <w:rPr>
      <w:rFonts w:ascii="Arial" w:hAnsi="Arial" w:cs="Arial"/>
      <w:b/>
      <w:color w:val="004785"/>
      <w:sz w:val="32"/>
      <w:szCs w:val="32"/>
    </w:rPr>
  </w:style>
  <w:style w:type="paragraph" w:styleId="Bibliography">
    <w:name w:val="Bibliography"/>
    <w:basedOn w:val="Normal"/>
    <w:next w:val="Normal"/>
    <w:uiPriority w:val="37"/>
    <w:semiHidden/>
    <w:unhideWhenUsed/>
    <w:rsid w:val="00AA4213"/>
  </w:style>
  <w:style w:type="table" w:customStyle="1" w:styleId="TableGrid1">
    <w:name w:val="Table Grid1"/>
    <w:basedOn w:val="TableNormal"/>
    <w:next w:val="TableGrid"/>
    <w:uiPriority w:val="39"/>
    <w:rsid w:val="00AA421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4B82"/>
    <w:rPr>
      <w:b/>
      <w:color w:val="004785"/>
      <w:sz w:val="44"/>
      <w:szCs w:val="44"/>
    </w:rPr>
  </w:style>
  <w:style w:type="character" w:customStyle="1" w:styleId="TitleChar">
    <w:name w:val="Title Char"/>
    <w:basedOn w:val="DefaultParagraphFont"/>
    <w:link w:val="Title"/>
    <w:uiPriority w:val="10"/>
    <w:rsid w:val="003A4B82"/>
    <w:rPr>
      <w:rFonts w:ascii="Arial" w:eastAsiaTheme="minorEastAsia" w:hAnsi="Arial" w:cs="Arial"/>
      <w:b/>
      <w:color w:val="004785"/>
      <w:sz w:val="44"/>
      <w:szCs w:val="44"/>
      <w:lang w:eastAsia="en-GB"/>
    </w:rPr>
  </w:style>
  <w:style w:type="paragraph" w:styleId="Subtitle">
    <w:name w:val="Subtitle"/>
    <w:basedOn w:val="Normal"/>
    <w:next w:val="Normal"/>
    <w:link w:val="SubtitleChar"/>
    <w:uiPriority w:val="11"/>
    <w:qFormat/>
    <w:rsid w:val="003A4B82"/>
    <w:rPr>
      <w:bCs/>
      <w:color w:val="004785"/>
      <w:sz w:val="44"/>
      <w:szCs w:val="44"/>
    </w:rPr>
  </w:style>
  <w:style w:type="character" w:customStyle="1" w:styleId="SubtitleChar">
    <w:name w:val="Subtitle Char"/>
    <w:basedOn w:val="DefaultParagraphFont"/>
    <w:link w:val="Subtitle"/>
    <w:uiPriority w:val="11"/>
    <w:rsid w:val="003A4B82"/>
    <w:rPr>
      <w:rFonts w:ascii="Arial" w:eastAsiaTheme="minorEastAsia" w:hAnsi="Arial" w:cs="Arial"/>
      <w:bCs/>
      <w:color w:val="004785"/>
      <w:sz w:val="44"/>
      <w:szCs w:val="44"/>
      <w:lang w:eastAsia="en-GB"/>
    </w:rPr>
  </w:style>
  <w:style w:type="character" w:styleId="IntenseEmphasis">
    <w:name w:val="Intense Emphasis"/>
    <w:aliases w:val="Q-Pulse Footer"/>
    <w:uiPriority w:val="21"/>
    <w:qFormat/>
    <w:rsid w:val="003A4B82"/>
    <w:rPr>
      <w:rFonts w:ascii="Arial" w:hAnsi="Arial" w:cs="Arial"/>
      <w:color w:val="004785"/>
      <w:sz w:val="20"/>
      <w:szCs w:val="20"/>
    </w:rPr>
  </w:style>
  <w:style w:type="character" w:styleId="SubtleEmphasis">
    <w:name w:val="Subtle Emphasis"/>
    <w:aliases w:val="Network Header"/>
    <w:uiPriority w:val="19"/>
    <w:qFormat/>
    <w:rsid w:val="003A4B82"/>
    <w:rPr>
      <w:rFonts w:ascii="Arial" w:eastAsiaTheme="minorEastAsia" w:hAnsi="Arial" w:cs="Arial"/>
      <w:b/>
      <w:color w:val="365F91" w:themeColor="accent1" w:themeShade="BF"/>
      <w:sz w:val="24"/>
      <w:szCs w:val="24"/>
      <w:lang w:eastAsia="en-GB"/>
    </w:rPr>
  </w:style>
  <w:style w:type="character" w:styleId="Emphasis">
    <w:name w:val="Emphasis"/>
    <w:aliases w:val="Document Header"/>
    <w:uiPriority w:val="20"/>
    <w:qFormat/>
    <w:rsid w:val="003A4B82"/>
    <w:rPr>
      <w:rFonts w:ascii="Arial" w:eastAsiaTheme="minorEastAsia" w:hAnsi="Arial" w:cs="Arial"/>
      <w:bCs/>
      <w:color w:val="365F91" w:themeColor="accent1" w:themeShade="BF"/>
      <w:sz w:val="24"/>
      <w:szCs w:val="24"/>
      <w:lang w:eastAsia="en-GB"/>
    </w:rPr>
  </w:style>
  <w:style w:type="paragraph" w:styleId="TOCHeading">
    <w:name w:val="TOC Heading"/>
    <w:basedOn w:val="Heading1"/>
    <w:next w:val="Normal"/>
    <w:uiPriority w:val="39"/>
    <w:unhideWhenUsed/>
    <w:qFormat/>
    <w:rsid w:val="003A4B82"/>
    <w:pPr>
      <w:keepNext/>
      <w:keepLines/>
      <w:spacing w:before="240" w:after="0" w:line="259" w:lineRule="auto"/>
      <w:outlineLvl w:val="9"/>
    </w:pPr>
    <w:rPr>
      <w:rFonts w:asciiTheme="majorHAnsi" w:eastAsiaTheme="majorEastAsia" w:hAnsiTheme="majorHAnsi" w:cstheme="majorBidi"/>
      <w:b w:val="0"/>
      <w:color w:val="365F91" w:themeColor="accent1" w:themeShade="BF"/>
      <w:lang w:val="en-US"/>
    </w:rPr>
  </w:style>
  <w:style w:type="paragraph" w:styleId="TOC1">
    <w:name w:val="toc 1"/>
    <w:basedOn w:val="Normal"/>
    <w:next w:val="Normal"/>
    <w:autoRedefine/>
    <w:uiPriority w:val="39"/>
    <w:unhideWhenUsed/>
    <w:rsid w:val="003A4B82"/>
    <w:pPr>
      <w:spacing w:after="100"/>
    </w:pPr>
  </w:style>
  <w:style w:type="paragraph" w:styleId="TOC2">
    <w:name w:val="toc 2"/>
    <w:basedOn w:val="Normal"/>
    <w:next w:val="Normal"/>
    <w:autoRedefine/>
    <w:uiPriority w:val="39"/>
    <w:unhideWhenUsed/>
    <w:rsid w:val="003A4B82"/>
    <w:pPr>
      <w:spacing w:after="100"/>
      <w:ind w:left="240"/>
    </w:pPr>
  </w:style>
  <w:style w:type="character" w:customStyle="1" w:styleId="Heading3Char">
    <w:name w:val="Heading 3 Char"/>
    <w:basedOn w:val="DefaultParagraphFont"/>
    <w:link w:val="Heading3"/>
    <w:uiPriority w:val="9"/>
    <w:semiHidden/>
    <w:rsid w:val="00DC3216"/>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1"/>
    <w:qFormat/>
    <w:rsid w:val="00A04DC4"/>
    <w:pPr>
      <w:widowControl w:val="0"/>
      <w:autoSpaceDE w:val="0"/>
      <w:autoSpaceDN w:val="0"/>
    </w:pPr>
    <w:rPr>
      <w:rFonts w:eastAsia="Arial"/>
      <w:color w:val="auto"/>
      <w:sz w:val="22"/>
      <w:szCs w:val="22"/>
      <w:lang w:val="en-US" w:eastAsia="en-US"/>
    </w:rPr>
  </w:style>
  <w:style w:type="character" w:customStyle="1" w:styleId="BodyTextChar">
    <w:name w:val="Body Text Char"/>
    <w:basedOn w:val="DefaultParagraphFont"/>
    <w:link w:val="BodyText"/>
    <w:uiPriority w:val="1"/>
    <w:rsid w:val="00A04DC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arn.scot.nhs.uk/wp-content/uploads/2021/01/Vaccine-protocol.pdf" TargetMode="External"/><Relationship Id="rId4" Type="http://schemas.openxmlformats.org/officeDocument/2006/relationships/settings" Target="settings.xml"/><Relationship Id="rId9" Type="http://schemas.openxmlformats.org/officeDocument/2006/relationships/hyperlink" Target="http://www.immunisationscotland.org.uk/vaccines-anddiseases/seasonalflu/childflu.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Mus</b:Tag>
    <b:SourceType>Book</b:SourceType>
    <b:Guid>{53346E08-D2AE-4F43-B328-F8568B108918}</b:Guid>
    <b:Author>
      <b:Author>
        <b:NameList>
          <b:Person>
            <b:Last>Musallam K.M.</b:Last>
            <b:First>Rivella</b:First>
            <b:Middle>S., Vichinsky E., Rachmilewitz E.A.</b:Middle>
          </b:Person>
        </b:NameList>
      </b:Author>
    </b:Author>
    <b:Title>Non-transfusion-dependent thalassemias</b:Title>
    <b:Publisher>Haematologica</b:Publisher>
    <b:Year>2013</b:Year>
    <b:Volume>98(6)</b:Volume>
    <b:Pages>833-44</b:Pages>
    <b:RefOrder>1</b:RefOrder>
  </b:Source>
  <b:Source>
    <b:Tag>Sri08</b:Tag>
    <b:SourceType>Book</b:SourceType>
    <b:Guid>{F55A3811-953D-ED44-8794-2E10591E5283}</b:Guid>
    <b:Author>
      <b:Author>
        <b:NameList>
          <b:Person>
            <b:Last>Sripichai O.</b:Last>
            <b:First>Makarasara</b:First>
            <b:Middle>W., Munkongdee T., Kumkhaek C., Nuchprayoon I., Chuansumrit A., Chuncharunee S., Chantrakoon N., Boonmongkol P., Winichagoon P., Fucharoen S.</b:Middle>
          </b:Person>
        </b:NameList>
      </b:Author>
    </b:Author>
    <b:Title>A scoreing system for the classification off beta-thalassemia/Hb E disease severity</b:Title>
    <b:Publisher>American Journal of Hematology</b:Publisher>
    <b:Year>2008</b:Year>
    <b:Volume>83(6)</b:Volume>
    <b:Pages>482-484</b:Pages>
    <b:RefOrder>2</b:RefOrder>
  </b:Source>
  <b:Source>
    <b:Tag>Har09</b:Tag>
    <b:SourceType>Book</b:SourceType>
    <b:Guid>{18272BDC-E55C-E84A-9E75-9D9E205B5052}</b:Guid>
    <b:Author>
      <b:Author>
        <b:NameList>
          <b:Person>
            <b:Last>Harris A.M.</b:Last>
            <b:First>Atterbury</b:First>
            <b:Middle>C.L.J., Chaffe B., Elliott C., Hawkins T., Hennem S.J., Howell C., Jones J., Murray S., New H.V., Norfolk D, Pirie L., Russell J., Taylor C.</b:Middle>
          </b:Person>
        </b:NameList>
      </b:Author>
    </b:Author>
    <b:Title>Guideline on the Administration of Blood Components</b:Title>
    <b:Publisher>Brittish Committee for Standards in Haematology</b:Publisher>
    <b:Year>2009</b:Year>
    <b:RefOrder>5</b:RefOrder>
  </b:Source>
  <b:Source>
    <b:Tag>Cap14</b:Tag>
    <b:SourceType>Book</b:SourceType>
    <b:Guid>{A7590EE4-B8B5-8A48-99D3-639AFDBFA0C5}</b:Guid>
    <b:Author>
      <b:Author>
        <b:NameList>
          <b:Person>
            <b:Last>Cappellini M.D.</b:Last>
            <b:First>Cohen</b:First>
            <b:Middle>A., Porter J., Taher A., Viprakasit V.</b:Middle>
          </b:Person>
        </b:NameList>
      </b:Author>
    </b:Author>
    <b:Title>Guidelines for the management of transfusion dependent thalassaemia (TDT)</b:Title>
    <b:Publisher>Thalassaemia International Federation</b:Publisher>
    <b:Year>2014</b:Year>
    <b:RefOrder>7</b:RefOrder>
  </b:Source>
  <b:Source>
    <b:Tag>Tah13</b:Tag>
    <b:SourceType>Book</b:SourceType>
    <b:Guid>{4650A615-8F26-4044-BC6D-7DE02F0B13DC}</b:Guid>
    <b:Author>
      <b:Author>
        <b:NameList>
          <b:Person>
            <b:Last>Taher A.</b:Last>
            <b:First>Vichinsky</b:First>
            <b:Middle>E., Musallam K., Cappellini M.D., Viprakasit V.</b:Middle>
          </b:Person>
        </b:NameList>
      </b:Author>
    </b:Author>
    <b:Title>Guidelines for the management of non transfusion dependent thalassaemia (NTDT)</b:Title>
    <b:Publisher>Thalassaemia International Federation</b:Publisher>
    <b:Year>2013</b:Year>
    <b:RefOrder>4</b:RefOrder>
  </b:Source>
  <b:Source>
    <b:Tag>Bai12</b:Tag>
    <b:SourceType>Book</b:SourceType>
    <b:Guid>{CEC3D4AE-A6AE-A34E-8AA5-81B25ADD1244}</b:Guid>
    <b:Author>
      <b:Author>
        <b:NameList>
          <b:Person>
            <b:Last>Bain B.</b:Last>
            <b:First>Farrar</b:First>
            <b:Middle>L, Henthorn J., Old J., Rees D., Roper D., Stephens A., Streetly A., Wild B.</b:Middle>
          </b:Person>
        </b:NameList>
      </b:Author>
    </b:Author>
    <b:Title>Sickle Cell and Thalassaemia Handbook for Laboratories</b:Title>
    <b:Publisher>NHS Sickle Cell and Thalassaemia Screening Programme</b:Publisher>
    <b:Year>2012</b:Year>
    <b:RefOrder>3</b:RefOrder>
  </b:Source>
  <b:Source>
    <b:Tag>Dav</b:Tag>
    <b:SourceType>Book</b:SourceType>
    <b:Guid>{3805F260-1175-F746-B7E7-81B46CD6A3F7}</b:Guid>
    <b:Author>
      <b:Author>
        <b:NameList>
          <b:Person>
            <b:Last>Davies J.M.</b:Last>
            <b:First>Lewis</b:First>
            <b:Middle>M.P.N., Wimperis J., Rafi I., Ladhani S., Bolton-Maggs P.H.B.</b:Middle>
          </b:Person>
        </b:NameList>
      </b:Author>
    </b:Author>
    <b:Title>Review of guidelines for the prevention and treatment of infection in patients with an absent or dysfunctional spleen: Prepared on behalf of the British Committee for Standards in Haematology by a Working Party of the Haemato-Oncology Task Force</b:Title>
    <b:Publisher>British Journal of Haematology</b:Publisher>
    <b:Volume>155</b:Volume>
    <b:Pages>308-317</b:Pages>
    <b:Year>2011</b:Year>
    <b:RefOrder>6</b:RefOrder>
  </b:Source>
</b:Sources>
</file>

<file path=customXml/itemProps1.xml><?xml version="1.0" encoding="utf-8"?>
<ds:datastoreItem xmlns:ds="http://schemas.openxmlformats.org/officeDocument/2006/customXml" ds:itemID="{05DD38A0-BBA3-4D25-ACAB-D0036D03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Paolina Leseva</dc:creator>
  <cp:lastModifiedBy>Kirsty Young</cp:lastModifiedBy>
  <cp:revision>2</cp:revision>
  <cp:lastPrinted>2023-01-06T11:35:00Z</cp:lastPrinted>
  <dcterms:created xsi:type="dcterms:W3CDTF">2023-07-18T13:22:00Z</dcterms:created>
  <dcterms:modified xsi:type="dcterms:W3CDTF">2023-07-18T13:22:00Z</dcterms:modified>
</cp:coreProperties>
</file>