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14B5" w14:textId="7DF03F47" w:rsidR="00F53303" w:rsidRPr="000C4A06" w:rsidRDefault="00681DB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505C88FD" wp14:editId="7A147598">
                <wp:simplePos x="0" y="0"/>
                <wp:positionH relativeFrom="column">
                  <wp:posOffset>-548640</wp:posOffset>
                </wp:positionH>
                <wp:positionV relativeFrom="paragraph">
                  <wp:posOffset>274320</wp:posOffset>
                </wp:positionV>
                <wp:extent cx="6629400" cy="7835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1F531" w14:textId="77777777" w:rsidR="000C4A06" w:rsidRDefault="000C4A06" w:rsidP="00A71581">
                            <w:pPr>
                              <w:jc w:val="center"/>
                              <w:rPr>
                                <w:rFonts w:ascii="Arial" w:hAnsi="Arial" w:cs="Arial"/>
                                <w:b/>
                                <w:color w:val="00A2E5"/>
                                <w:sz w:val="36"/>
                              </w:rPr>
                            </w:pPr>
                            <w:r>
                              <w:rPr>
                                <w:rFonts w:ascii="Arial" w:hAnsi="Arial" w:cs="Arial"/>
                                <w:b/>
                                <w:color w:val="00A2E5"/>
                                <w:sz w:val="36"/>
                              </w:rPr>
                              <w:t>Scottish Paediatric &amp; Adolescent Rheumatology Network</w:t>
                            </w:r>
                          </w:p>
                          <w:p w14:paraId="2B5820A9" w14:textId="77777777" w:rsidR="000C4A06" w:rsidRPr="00F53303" w:rsidRDefault="000C4A06" w:rsidP="00A71581">
                            <w:pPr>
                              <w:jc w:val="center"/>
                              <w:rPr>
                                <w:rFonts w:ascii="Arial" w:hAnsi="Arial" w:cs="Arial"/>
                                <w:b/>
                                <w:color w:val="00A2E5"/>
                                <w:sz w:val="36"/>
                              </w:rPr>
                            </w:pPr>
                            <w:r>
                              <w:rPr>
                                <w:rFonts w:ascii="Arial" w:hAnsi="Arial" w:cs="Arial"/>
                                <w:b/>
                                <w:color w:val="00A2E5"/>
                                <w:sz w:val="36"/>
                              </w:rPr>
                              <w:t>Guideline for Infliximab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C88FD" id="_x0000_t202" coordsize="21600,21600" o:spt="202" path="m,l,21600r21600,l21600,xe">
                <v:stroke joinstyle="miter"/>
                <v:path gradientshapeok="t" o:connecttype="rect"/>
              </v:shapetype>
              <v:shape id="Text Box 4" o:spid="_x0000_s1026" type="#_x0000_t202" style="position:absolute;margin-left:-43.2pt;margin-top:21.6pt;width:522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7V4QEAAKEDAAAOAAAAZHJzL2Uyb0RvYy54bWysU9tu2zAMfR+wfxD0vtjJ0rQx4hRdiw4D&#10;ugvQ9QNkWbKF2aJGKbGzrx8lp2m2vg17ESSSPjznkN5cj33H9gq9AVvy+SznTFkJtbFNyZ++37+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" filled="f" stroked="f">
                <v:textbox>
                  <w:txbxContent>
                    <w:p w14:paraId="26F1F531" w14:textId="77777777" w:rsidR="000C4A06" w:rsidRDefault="000C4A06" w:rsidP="00A71581">
                      <w:pPr>
                        <w:jc w:val="center"/>
                        <w:rPr>
                          <w:rFonts w:ascii="Arial" w:hAnsi="Arial" w:cs="Arial"/>
                          <w:b/>
                          <w:color w:val="00A2E5"/>
                          <w:sz w:val="36"/>
                        </w:rPr>
                      </w:pPr>
                      <w:r>
                        <w:rPr>
                          <w:rFonts w:ascii="Arial" w:hAnsi="Arial" w:cs="Arial"/>
                          <w:b/>
                          <w:color w:val="00A2E5"/>
                          <w:sz w:val="36"/>
                        </w:rPr>
                        <w:t>Scottish Paediatric &amp; Adolescent Rheumatology Network</w:t>
                      </w:r>
                    </w:p>
                    <w:p w14:paraId="2B5820A9" w14:textId="77777777" w:rsidR="000C4A06" w:rsidRPr="00F53303" w:rsidRDefault="000C4A06" w:rsidP="00A71581">
                      <w:pPr>
                        <w:jc w:val="center"/>
                        <w:rPr>
                          <w:rFonts w:ascii="Arial" w:hAnsi="Arial" w:cs="Arial"/>
                          <w:b/>
                          <w:color w:val="00A2E5"/>
                          <w:sz w:val="36"/>
                        </w:rPr>
                      </w:pPr>
                      <w:r>
                        <w:rPr>
                          <w:rFonts w:ascii="Arial" w:hAnsi="Arial" w:cs="Arial"/>
                          <w:b/>
                          <w:color w:val="00A2E5"/>
                          <w:sz w:val="36"/>
                        </w:rPr>
                        <w:t>Guideline for Infliximab Use</w:t>
                      </w:r>
                    </w:p>
                  </w:txbxContent>
                </v:textbox>
              </v:shape>
            </w:pict>
          </mc:Fallback>
        </mc:AlternateContent>
      </w:r>
    </w:p>
    <w:p w14:paraId="0AF34278" w14:textId="77777777" w:rsidR="00F53303" w:rsidRPr="000C4A06" w:rsidRDefault="00F53303" w:rsidP="00F53303">
      <w:pPr>
        <w:rPr>
          <w:rFonts w:ascii="Arial" w:hAnsi="Arial" w:cs="Arial"/>
          <w:sz w:val="20"/>
          <w:szCs w:val="20"/>
        </w:rPr>
      </w:pPr>
    </w:p>
    <w:p w14:paraId="3149997C" w14:textId="77777777" w:rsidR="00A71581" w:rsidRPr="000C4A06" w:rsidRDefault="00A71581" w:rsidP="00D00143">
      <w:pPr>
        <w:spacing w:after="0"/>
        <w:rPr>
          <w:rFonts w:ascii="Arial" w:hAnsi="Arial" w:cs="Arial"/>
          <w:sz w:val="20"/>
          <w:szCs w:val="20"/>
        </w:rPr>
      </w:pPr>
    </w:p>
    <w:p w14:paraId="6F92041C" w14:textId="77777777" w:rsidR="00A71581" w:rsidRPr="000C4A06" w:rsidRDefault="00A71581" w:rsidP="00D00143">
      <w:pPr>
        <w:spacing w:after="0"/>
        <w:rPr>
          <w:rFonts w:ascii="Arial" w:hAnsi="Arial" w:cs="Arial"/>
          <w:sz w:val="20"/>
          <w:szCs w:val="20"/>
        </w:rPr>
      </w:pPr>
    </w:p>
    <w:p w14:paraId="4FB48CC0" w14:textId="77777777" w:rsidR="00A71581" w:rsidRPr="000C4A06" w:rsidRDefault="00A71581" w:rsidP="00D00143">
      <w:pPr>
        <w:spacing w:after="0"/>
        <w:rPr>
          <w:rFonts w:ascii="Arial" w:hAnsi="Arial" w:cs="Arial"/>
          <w:sz w:val="20"/>
          <w:szCs w:val="20"/>
        </w:rPr>
      </w:pPr>
    </w:p>
    <w:p w14:paraId="5C886EDA" w14:textId="77777777" w:rsidR="00A71581" w:rsidRPr="000C4A06" w:rsidRDefault="00A71581" w:rsidP="00D00143">
      <w:pPr>
        <w:spacing w:after="0"/>
        <w:rPr>
          <w:rFonts w:ascii="Arial" w:hAnsi="Arial" w:cs="Arial"/>
          <w:sz w:val="20"/>
          <w:szCs w:val="20"/>
        </w:rPr>
      </w:pPr>
      <w:r w:rsidRPr="000C4A06">
        <w:rPr>
          <w:rFonts w:ascii="Arial" w:hAnsi="Arial" w:cs="Arial"/>
          <w:sz w:val="20"/>
          <w:szCs w:val="20"/>
        </w:rPr>
        <w:t>Infliximab is an anti-inflammatory monoclonal antibody, derived from human and mouse cells. Infliximab inhibits the pro-inflammatory cytokine tumour necrosis factor alpha (TNF-alpha). It has been shown to be effective in the management of many paediatric rheumatological conditions including:</w:t>
      </w:r>
    </w:p>
    <w:p w14:paraId="79117782" w14:textId="77777777" w:rsidR="00301D76" w:rsidRPr="000C4A06" w:rsidRDefault="00301D76" w:rsidP="00D00143">
      <w:pPr>
        <w:spacing w:after="0"/>
        <w:rPr>
          <w:rFonts w:ascii="Arial" w:hAnsi="Arial" w:cs="Arial"/>
          <w:sz w:val="20"/>
          <w:szCs w:val="20"/>
        </w:rPr>
      </w:pPr>
    </w:p>
    <w:p w14:paraId="2E22C005" w14:textId="51F55619" w:rsidR="00D00143" w:rsidRPr="003819F5" w:rsidRDefault="003819F5" w:rsidP="003819F5">
      <w:pPr>
        <w:pStyle w:val="ListParagraph"/>
        <w:numPr>
          <w:ilvl w:val="0"/>
          <w:numId w:val="22"/>
        </w:numPr>
        <w:rPr>
          <w:rFonts w:ascii="Arial" w:hAnsi="Arial" w:cs="Arial"/>
          <w:sz w:val="20"/>
          <w:szCs w:val="20"/>
        </w:rPr>
      </w:pPr>
      <w:r w:rsidRPr="003819F5">
        <w:rPr>
          <w:rFonts w:ascii="Arial" w:hAnsi="Arial" w:cs="Arial"/>
          <w:sz w:val="20"/>
          <w:szCs w:val="20"/>
        </w:rPr>
        <w:t>Juvenile idiopathic arthritis (JIA): active arthritis (all JIA subtypes except systemic onset</w:t>
      </w:r>
      <w:r>
        <w:rPr>
          <w:rFonts w:ascii="Arial" w:hAnsi="Arial" w:cs="Arial"/>
          <w:sz w:val="20"/>
          <w:szCs w:val="20"/>
        </w:rPr>
        <w:t xml:space="preserve"> </w:t>
      </w:r>
      <w:r w:rsidRPr="003819F5">
        <w:rPr>
          <w:rFonts w:ascii="Arial" w:hAnsi="Arial" w:cs="Arial"/>
          <w:sz w:val="20"/>
          <w:szCs w:val="20"/>
        </w:rPr>
        <w:t xml:space="preserve">juvenile idiopathic arthritis), failure of methotrexate monotherapy, failure of other </w:t>
      </w:r>
      <w:proofErr w:type="spellStart"/>
      <w:r w:rsidRPr="003819F5">
        <w:rPr>
          <w:rFonts w:ascii="Arial" w:hAnsi="Arial" w:cs="Arial"/>
          <w:sz w:val="20"/>
          <w:szCs w:val="20"/>
        </w:rPr>
        <w:t>anti tumour</w:t>
      </w:r>
      <w:proofErr w:type="spellEnd"/>
      <w:r>
        <w:rPr>
          <w:rFonts w:ascii="Arial" w:hAnsi="Arial" w:cs="Arial"/>
          <w:sz w:val="20"/>
          <w:szCs w:val="20"/>
        </w:rPr>
        <w:t xml:space="preserve"> </w:t>
      </w:r>
      <w:r w:rsidRPr="003819F5">
        <w:rPr>
          <w:rFonts w:ascii="Arial" w:hAnsi="Arial" w:cs="Arial"/>
          <w:sz w:val="20"/>
          <w:szCs w:val="20"/>
        </w:rPr>
        <w:t>necrosis factor alpha (</w:t>
      </w:r>
      <w:proofErr w:type="spellStart"/>
      <w:r w:rsidRPr="003819F5">
        <w:rPr>
          <w:rFonts w:ascii="Arial" w:hAnsi="Arial" w:cs="Arial"/>
          <w:sz w:val="20"/>
          <w:szCs w:val="20"/>
        </w:rPr>
        <w:t>antiTNF</w:t>
      </w:r>
      <w:proofErr w:type="spellEnd"/>
      <w:r w:rsidRPr="003819F5">
        <w:rPr>
          <w:rFonts w:ascii="Arial" w:hAnsi="Arial" w:cs="Arial"/>
          <w:sz w:val="20"/>
          <w:szCs w:val="20"/>
        </w:rPr>
        <w:t xml:space="preserve">) therapy, requirement to administer </w:t>
      </w:r>
      <w:proofErr w:type="spellStart"/>
      <w:r w:rsidRPr="003819F5">
        <w:rPr>
          <w:rFonts w:ascii="Arial" w:hAnsi="Arial" w:cs="Arial"/>
          <w:sz w:val="20"/>
          <w:szCs w:val="20"/>
        </w:rPr>
        <w:t>antiTNF</w:t>
      </w:r>
      <w:proofErr w:type="spellEnd"/>
      <w:r w:rsidRPr="003819F5">
        <w:rPr>
          <w:rFonts w:ascii="Arial" w:hAnsi="Arial" w:cs="Arial"/>
          <w:sz w:val="20"/>
          <w:szCs w:val="20"/>
        </w:rPr>
        <w:t xml:space="preserve"> therapy via intravenous (IV) route for patient concordance/tolerability</w:t>
      </w:r>
      <w:r w:rsidR="007240AF">
        <w:rPr>
          <w:rFonts w:ascii="Arial" w:hAnsi="Arial" w:cs="Arial"/>
          <w:sz w:val="20"/>
          <w:szCs w:val="20"/>
        </w:rPr>
        <w:t xml:space="preserve"> </w:t>
      </w:r>
      <w:r w:rsidR="00D00143" w:rsidRPr="003819F5">
        <w:rPr>
          <w:rFonts w:ascii="Arial" w:hAnsi="Arial" w:cs="Arial"/>
          <w:sz w:val="20"/>
          <w:szCs w:val="20"/>
        </w:rPr>
        <w:t>Juvenile Systemic Lupus Erythematosus</w:t>
      </w:r>
    </w:p>
    <w:p w14:paraId="062D5B28" w14:textId="77777777" w:rsidR="00D00143" w:rsidRPr="003819F5" w:rsidRDefault="003819F5" w:rsidP="003819F5">
      <w:pPr>
        <w:pStyle w:val="ListParagraph"/>
        <w:numPr>
          <w:ilvl w:val="0"/>
          <w:numId w:val="22"/>
        </w:numPr>
        <w:rPr>
          <w:rFonts w:ascii="Arial" w:hAnsi="Arial" w:cs="Arial"/>
          <w:sz w:val="20"/>
          <w:szCs w:val="20"/>
        </w:rPr>
      </w:pPr>
      <w:r w:rsidRPr="003819F5">
        <w:rPr>
          <w:rFonts w:ascii="Arial" w:hAnsi="Arial" w:cs="Arial"/>
          <w:sz w:val="20"/>
          <w:szCs w:val="20"/>
        </w:rPr>
        <w:t xml:space="preserve">JIA with active uveitis which has failed to respond to methotrexate monotherapy, where adalimumab has </w:t>
      </w:r>
      <w:proofErr w:type="gramStart"/>
      <w:r w:rsidRPr="003819F5">
        <w:rPr>
          <w:rFonts w:ascii="Arial" w:hAnsi="Arial" w:cs="Arial"/>
          <w:sz w:val="20"/>
          <w:szCs w:val="20"/>
        </w:rPr>
        <w:t>failed</w:t>
      </w:r>
      <w:proofErr w:type="gramEnd"/>
      <w:r w:rsidRPr="003819F5">
        <w:rPr>
          <w:rFonts w:ascii="Arial" w:hAnsi="Arial" w:cs="Arial"/>
          <w:sz w:val="20"/>
          <w:szCs w:val="20"/>
        </w:rPr>
        <w:t xml:space="preserve"> or adalimumab is not recommended due to route of administration</w:t>
      </w:r>
    </w:p>
    <w:p w14:paraId="150ED11F" w14:textId="77777777" w:rsidR="003819F5" w:rsidRPr="003819F5" w:rsidRDefault="003819F5" w:rsidP="003819F5">
      <w:pPr>
        <w:pStyle w:val="ListParagraph"/>
        <w:numPr>
          <w:ilvl w:val="0"/>
          <w:numId w:val="22"/>
        </w:numPr>
        <w:rPr>
          <w:rFonts w:ascii="Arial" w:hAnsi="Arial" w:cs="Arial"/>
          <w:sz w:val="20"/>
          <w:szCs w:val="20"/>
        </w:rPr>
      </w:pPr>
      <w:r w:rsidRPr="003819F5">
        <w:rPr>
          <w:rFonts w:ascii="Arial" w:hAnsi="Arial" w:cs="Arial"/>
          <w:sz w:val="20"/>
          <w:szCs w:val="20"/>
        </w:rPr>
        <w:t>Idiopathic uveitis which has failed to respond to methotrexate monotherapy, where</w:t>
      </w:r>
      <w:r>
        <w:rPr>
          <w:rFonts w:ascii="Arial" w:hAnsi="Arial" w:cs="Arial"/>
          <w:sz w:val="20"/>
          <w:szCs w:val="20"/>
        </w:rPr>
        <w:t xml:space="preserve"> </w:t>
      </w:r>
      <w:r w:rsidRPr="003819F5">
        <w:rPr>
          <w:rFonts w:ascii="Arial" w:hAnsi="Arial" w:cs="Arial"/>
          <w:sz w:val="20"/>
          <w:szCs w:val="20"/>
        </w:rPr>
        <w:t xml:space="preserve">adalimumab has </w:t>
      </w:r>
      <w:proofErr w:type="gramStart"/>
      <w:r w:rsidRPr="003819F5">
        <w:rPr>
          <w:rFonts w:ascii="Arial" w:hAnsi="Arial" w:cs="Arial"/>
          <w:sz w:val="20"/>
          <w:szCs w:val="20"/>
        </w:rPr>
        <w:t>failed</w:t>
      </w:r>
      <w:proofErr w:type="gramEnd"/>
      <w:r w:rsidRPr="003819F5">
        <w:rPr>
          <w:rFonts w:ascii="Arial" w:hAnsi="Arial" w:cs="Arial"/>
          <w:sz w:val="20"/>
          <w:szCs w:val="20"/>
        </w:rPr>
        <w:t xml:space="preserve"> or adalimumab is not recommended due to route of administration.</w:t>
      </w:r>
    </w:p>
    <w:p w14:paraId="74793F97" w14:textId="77777777" w:rsidR="003819F5" w:rsidRPr="003819F5" w:rsidRDefault="003819F5" w:rsidP="003819F5">
      <w:pPr>
        <w:pStyle w:val="ListParagraph"/>
        <w:numPr>
          <w:ilvl w:val="0"/>
          <w:numId w:val="22"/>
        </w:numPr>
        <w:rPr>
          <w:rFonts w:ascii="Arial" w:hAnsi="Arial" w:cs="Arial"/>
          <w:sz w:val="20"/>
          <w:szCs w:val="20"/>
        </w:rPr>
      </w:pPr>
      <w:r w:rsidRPr="003819F5">
        <w:rPr>
          <w:rFonts w:ascii="Arial" w:hAnsi="Arial" w:cs="Arial"/>
          <w:sz w:val="20"/>
          <w:szCs w:val="20"/>
        </w:rPr>
        <w:t>Juvenile dermatomyositis (JDM) after inadequate response to methotrexate and prednisolone</w:t>
      </w:r>
    </w:p>
    <w:p w14:paraId="6A897FEF" w14:textId="77777777" w:rsidR="003819F5" w:rsidRPr="003819F5" w:rsidRDefault="003819F5" w:rsidP="003819F5">
      <w:pPr>
        <w:pStyle w:val="ListParagraph"/>
        <w:numPr>
          <w:ilvl w:val="0"/>
          <w:numId w:val="22"/>
        </w:numPr>
        <w:rPr>
          <w:rFonts w:ascii="Arial" w:hAnsi="Arial" w:cs="Arial"/>
          <w:sz w:val="20"/>
          <w:szCs w:val="20"/>
        </w:rPr>
      </w:pPr>
      <w:r w:rsidRPr="003819F5">
        <w:rPr>
          <w:rFonts w:ascii="Arial" w:hAnsi="Arial" w:cs="Arial"/>
          <w:sz w:val="20"/>
          <w:szCs w:val="20"/>
        </w:rPr>
        <w:t>Chronic nonbacterial osteomyelitis (CNO) after inadequate response to pamidronate</w:t>
      </w:r>
    </w:p>
    <w:p w14:paraId="37FDEC3C" w14:textId="77777777" w:rsidR="00D00143" w:rsidRPr="000C4A06" w:rsidRDefault="00D00143" w:rsidP="00D00143">
      <w:pPr>
        <w:spacing w:after="0"/>
        <w:rPr>
          <w:rFonts w:ascii="Arial" w:hAnsi="Arial" w:cs="Arial"/>
          <w:b/>
          <w:bCs/>
          <w:sz w:val="20"/>
          <w:szCs w:val="20"/>
          <w:u w:val="single"/>
        </w:rPr>
      </w:pPr>
    </w:p>
    <w:p w14:paraId="235C8FAB" w14:textId="77777777" w:rsidR="00A71581" w:rsidRPr="000C4A06" w:rsidRDefault="00D00143" w:rsidP="00A71581">
      <w:pPr>
        <w:spacing w:after="0"/>
        <w:rPr>
          <w:rFonts w:ascii="Arial" w:hAnsi="Arial" w:cs="Arial"/>
          <w:b/>
          <w:bCs/>
          <w:sz w:val="20"/>
          <w:szCs w:val="20"/>
          <w:u w:val="single"/>
        </w:rPr>
      </w:pPr>
      <w:r w:rsidRPr="000C4A06">
        <w:rPr>
          <w:rFonts w:ascii="Arial" w:hAnsi="Arial" w:cs="Arial"/>
          <w:b/>
          <w:bCs/>
          <w:sz w:val="20"/>
          <w:szCs w:val="20"/>
          <w:u w:val="single"/>
        </w:rPr>
        <w:t>Contra-indications:</w:t>
      </w:r>
    </w:p>
    <w:p w14:paraId="31004CBE" w14:textId="77777777" w:rsidR="00A71581" w:rsidRPr="000C4A06" w:rsidRDefault="00A71581" w:rsidP="00A71581">
      <w:pPr>
        <w:numPr>
          <w:ilvl w:val="0"/>
          <w:numId w:val="10"/>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History of hypersensitivity to infliximab, other murine proteins or to any of the excipients</w:t>
      </w:r>
    </w:p>
    <w:p w14:paraId="738CE2A5" w14:textId="179417E9" w:rsidR="00A71581" w:rsidRPr="000C4A06" w:rsidRDefault="00A71581" w:rsidP="00A71581">
      <w:pPr>
        <w:numPr>
          <w:ilvl w:val="0"/>
          <w:numId w:val="10"/>
        </w:numPr>
        <w:autoSpaceDE w:val="0"/>
        <w:autoSpaceDN w:val="0"/>
        <w:adjustRightInd w:val="0"/>
        <w:spacing w:after="0" w:line="240" w:lineRule="auto"/>
        <w:rPr>
          <w:rFonts w:ascii="Arial" w:hAnsi="Arial" w:cs="Arial"/>
          <w:sz w:val="20"/>
          <w:szCs w:val="20"/>
        </w:rPr>
      </w:pPr>
      <w:r w:rsidRPr="1643B526">
        <w:rPr>
          <w:rFonts w:ascii="Arial" w:hAnsi="Arial" w:cs="Arial"/>
          <w:sz w:val="20"/>
          <w:szCs w:val="20"/>
        </w:rPr>
        <w:t>Tuberculosis</w:t>
      </w:r>
      <w:r w:rsidR="00672584">
        <w:rPr>
          <w:rFonts w:ascii="Arial" w:hAnsi="Arial" w:cs="Arial"/>
          <w:sz w:val="20"/>
          <w:szCs w:val="20"/>
        </w:rPr>
        <w:t xml:space="preserve"> – in certain situations a decision may be made to give infliximab alongside anti-TB treatment if no other options </w:t>
      </w:r>
      <w:proofErr w:type="gramStart"/>
      <w:r w:rsidR="00672584">
        <w:rPr>
          <w:rFonts w:ascii="Arial" w:hAnsi="Arial" w:cs="Arial"/>
          <w:sz w:val="20"/>
          <w:szCs w:val="20"/>
        </w:rPr>
        <w:t>available</w:t>
      </w:r>
      <w:proofErr w:type="gramEnd"/>
      <w:r w:rsidR="00672584">
        <w:rPr>
          <w:rFonts w:ascii="Arial" w:hAnsi="Arial" w:cs="Arial"/>
          <w:sz w:val="20"/>
          <w:szCs w:val="20"/>
        </w:rPr>
        <w:t xml:space="preserve"> but this is at the clinician’s discretion</w:t>
      </w:r>
    </w:p>
    <w:p w14:paraId="7EDFDB09" w14:textId="77777777" w:rsidR="00A71581" w:rsidRPr="000C4A06" w:rsidRDefault="00A71581" w:rsidP="00A71581">
      <w:pPr>
        <w:numPr>
          <w:ilvl w:val="0"/>
          <w:numId w:val="10"/>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Severe infections </w:t>
      </w:r>
      <w:proofErr w:type="gramStart"/>
      <w:r w:rsidRPr="000C4A06">
        <w:rPr>
          <w:rFonts w:ascii="Arial" w:hAnsi="Arial" w:cs="Arial"/>
          <w:sz w:val="20"/>
          <w:szCs w:val="20"/>
        </w:rPr>
        <w:t>e.g.</w:t>
      </w:r>
      <w:proofErr w:type="gramEnd"/>
      <w:r w:rsidRPr="000C4A06">
        <w:rPr>
          <w:rFonts w:ascii="Arial" w:hAnsi="Arial" w:cs="Arial"/>
          <w:sz w:val="20"/>
          <w:szCs w:val="20"/>
        </w:rPr>
        <w:t xml:space="preserve"> sepsis, abscesses and opportunistic infections</w:t>
      </w:r>
    </w:p>
    <w:p w14:paraId="6CE2D54A" w14:textId="77777777" w:rsidR="00A71581" w:rsidRPr="000C4A06" w:rsidRDefault="00A71581" w:rsidP="00A71581">
      <w:pPr>
        <w:numPr>
          <w:ilvl w:val="0"/>
          <w:numId w:val="10"/>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Moderate or severe heart failure</w:t>
      </w:r>
    </w:p>
    <w:p w14:paraId="551D5CCF" w14:textId="10D6BDA4" w:rsidR="00A71581" w:rsidRDefault="00A71581" w:rsidP="00A71581">
      <w:pPr>
        <w:numPr>
          <w:ilvl w:val="0"/>
          <w:numId w:val="10"/>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Pregnancy</w:t>
      </w:r>
    </w:p>
    <w:p w14:paraId="46720D4F" w14:textId="2C5C4191" w:rsidR="00672584" w:rsidRPr="000C4A06" w:rsidRDefault="00672584" w:rsidP="00672584">
      <w:pPr>
        <w:numPr>
          <w:ilvl w:val="0"/>
          <w:numId w:val="10"/>
        </w:numPr>
        <w:spacing w:after="0"/>
        <w:rPr>
          <w:rFonts w:ascii="Arial" w:hAnsi="Arial" w:cs="Arial"/>
          <w:sz w:val="20"/>
          <w:szCs w:val="20"/>
        </w:rPr>
      </w:pPr>
      <w:r>
        <w:rPr>
          <w:rFonts w:ascii="Arial" w:hAnsi="Arial" w:cs="Arial"/>
          <w:sz w:val="20"/>
          <w:szCs w:val="20"/>
        </w:rPr>
        <w:t>MS or recent</w:t>
      </w:r>
      <w:r w:rsidRPr="1643B526">
        <w:rPr>
          <w:rFonts w:ascii="Arial" w:hAnsi="Arial" w:cs="Arial"/>
          <w:sz w:val="20"/>
          <w:szCs w:val="20"/>
        </w:rPr>
        <w:t xml:space="preserve"> onset of demyelinating disorders</w:t>
      </w:r>
    </w:p>
    <w:p w14:paraId="1935F7D9" w14:textId="77777777" w:rsidR="00672584" w:rsidRPr="000C4A06" w:rsidRDefault="00672584" w:rsidP="00672584">
      <w:pPr>
        <w:autoSpaceDE w:val="0"/>
        <w:autoSpaceDN w:val="0"/>
        <w:adjustRightInd w:val="0"/>
        <w:spacing w:after="0" w:line="240" w:lineRule="auto"/>
        <w:ind w:left="720"/>
        <w:rPr>
          <w:rFonts w:ascii="Arial" w:hAnsi="Arial" w:cs="Arial"/>
          <w:sz w:val="20"/>
          <w:szCs w:val="20"/>
        </w:rPr>
      </w:pPr>
    </w:p>
    <w:p w14:paraId="627E64D0" w14:textId="77777777" w:rsidR="00D00143" w:rsidRPr="000C4A06" w:rsidRDefault="00D00143" w:rsidP="00D00143">
      <w:pPr>
        <w:spacing w:after="0"/>
        <w:rPr>
          <w:rFonts w:ascii="Arial" w:hAnsi="Arial" w:cs="Arial"/>
          <w:b/>
          <w:bCs/>
          <w:sz w:val="20"/>
          <w:szCs w:val="20"/>
          <w:u w:val="single"/>
        </w:rPr>
      </w:pPr>
    </w:p>
    <w:p w14:paraId="25EE63D2" w14:textId="77777777" w:rsidR="00D00143" w:rsidRPr="000C4A06" w:rsidRDefault="00D00143" w:rsidP="00D00143">
      <w:pPr>
        <w:spacing w:after="0"/>
        <w:rPr>
          <w:rFonts w:ascii="Arial" w:hAnsi="Arial" w:cs="Arial"/>
          <w:b/>
          <w:bCs/>
          <w:sz w:val="20"/>
          <w:szCs w:val="20"/>
          <w:u w:val="single"/>
        </w:rPr>
      </w:pPr>
      <w:r w:rsidRPr="000C4A06">
        <w:rPr>
          <w:rFonts w:ascii="Arial" w:hAnsi="Arial" w:cs="Arial"/>
          <w:b/>
          <w:bCs/>
          <w:sz w:val="20"/>
          <w:szCs w:val="20"/>
          <w:u w:val="single"/>
        </w:rPr>
        <w:t>Cautions:</w:t>
      </w:r>
    </w:p>
    <w:p w14:paraId="3D7A9691" w14:textId="02192371" w:rsidR="00672584" w:rsidRPr="000C4A06" w:rsidRDefault="00672584" w:rsidP="00672584">
      <w:pPr>
        <w:numPr>
          <w:ilvl w:val="0"/>
          <w:numId w:val="11"/>
        </w:numPr>
        <w:spacing w:after="0"/>
        <w:rPr>
          <w:rFonts w:ascii="Arial" w:hAnsi="Arial" w:cs="Arial"/>
          <w:sz w:val="20"/>
          <w:szCs w:val="20"/>
        </w:rPr>
      </w:pPr>
      <w:r>
        <w:rPr>
          <w:rFonts w:ascii="Arial" w:hAnsi="Arial" w:cs="Arial"/>
          <w:sz w:val="20"/>
          <w:szCs w:val="20"/>
        </w:rPr>
        <w:t xml:space="preserve">Family history of MS or demyelinating disorders </w:t>
      </w:r>
    </w:p>
    <w:p w14:paraId="2D0E488C" w14:textId="77777777" w:rsidR="00301D76" w:rsidRPr="000C4A06" w:rsidRDefault="00301D76" w:rsidP="00301D76">
      <w:pPr>
        <w:numPr>
          <w:ilvl w:val="0"/>
          <w:numId w:val="11"/>
        </w:numPr>
        <w:spacing w:after="0"/>
        <w:rPr>
          <w:rFonts w:ascii="Arial" w:hAnsi="Arial" w:cs="Arial"/>
          <w:sz w:val="20"/>
          <w:szCs w:val="20"/>
        </w:rPr>
      </w:pPr>
      <w:r w:rsidRPr="000C4A06">
        <w:rPr>
          <w:rFonts w:ascii="Arial" w:hAnsi="Arial" w:cs="Arial"/>
          <w:sz w:val="20"/>
          <w:szCs w:val="20"/>
        </w:rPr>
        <w:t>History of malignancy</w:t>
      </w:r>
    </w:p>
    <w:p w14:paraId="1801FECD" w14:textId="77777777" w:rsidR="00301D76" w:rsidRPr="000C4A06" w:rsidRDefault="00301D76" w:rsidP="00301D76">
      <w:pPr>
        <w:numPr>
          <w:ilvl w:val="0"/>
          <w:numId w:val="11"/>
        </w:numPr>
        <w:spacing w:after="0"/>
        <w:rPr>
          <w:rFonts w:ascii="Arial" w:hAnsi="Arial" w:cs="Arial"/>
          <w:sz w:val="20"/>
          <w:szCs w:val="20"/>
        </w:rPr>
      </w:pPr>
      <w:r w:rsidRPr="000C4A06">
        <w:rPr>
          <w:rFonts w:ascii="Arial" w:hAnsi="Arial" w:cs="Arial"/>
          <w:sz w:val="20"/>
          <w:szCs w:val="20"/>
        </w:rPr>
        <w:t>Chronic hepatitis B infection</w:t>
      </w:r>
    </w:p>
    <w:p w14:paraId="1F98AD15" w14:textId="77777777" w:rsidR="00301D76" w:rsidRPr="000C4A06" w:rsidRDefault="00301D76" w:rsidP="00301D76">
      <w:pPr>
        <w:numPr>
          <w:ilvl w:val="0"/>
          <w:numId w:val="11"/>
        </w:numPr>
        <w:spacing w:after="0"/>
        <w:rPr>
          <w:rFonts w:ascii="Arial" w:hAnsi="Arial" w:cs="Arial"/>
          <w:sz w:val="20"/>
          <w:szCs w:val="20"/>
        </w:rPr>
      </w:pPr>
      <w:r w:rsidRPr="000C4A06">
        <w:rPr>
          <w:rFonts w:ascii="Arial" w:hAnsi="Arial" w:cs="Arial"/>
          <w:sz w:val="20"/>
          <w:szCs w:val="20"/>
        </w:rPr>
        <w:t>Heart failure</w:t>
      </w:r>
    </w:p>
    <w:p w14:paraId="3F34B15B" w14:textId="77777777" w:rsidR="00301D76" w:rsidRPr="000C4A06" w:rsidRDefault="00301D76" w:rsidP="00301D76">
      <w:pPr>
        <w:numPr>
          <w:ilvl w:val="0"/>
          <w:numId w:val="11"/>
        </w:numPr>
        <w:spacing w:after="0"/>
        <w:rPr>
          <w:rFonts w:ascii="Arial" w:hAnsi="Arial" w:cs="Arial"/>
          <w:sz w:val="20"/>
          <w:szCs w:val="20"/>
        </w:rPr>
      </w:pPr>
      <w:r w:rsidRPr="000C4A06">
        <w:rPr>
          <w:rFonts w:ascii="Arial" w:hAnsi="Arial" w:cs="Arial"/>
          <w:sz w:val="20"/>
          <w:szCs w:val="20"/>
        </w:rPr>
        <w:t>Predisposition to infection</w:t>
      </w:r>
    </w:p>
    <w:p w14:paraId="6384C8C6" w14:textId="77777777" w:rsidR="00301D76" w:rsidRPr="000C4A06" w:rsidRDefault="00301D76" w:rsidP="00301D76">
      <w:pPr>
        <w:numPr>
          <w:ilvl w:val="0"/>
          <w:numId w:val="11"/>
        </w:numPr>
        <w:spacing w:after="0"/>
        <w:rPr>
          <w:rFonts w:ascii="Arial" w:hAnsi="Arial" w:cs="Arial"/>
          <w:sz w:val="20"/>
          <w:szCs w:val="20"/>
        </w:rPr>
      </w:pPr>
      <w:r w:rsidRPr="000C4A06">
        <w:rPr>
          <w:rFonts w:ascii="Arial" w:hAnsi="Arial" w:cs="Arial"/>
          <w:sz w:val="20"/>
          <w:szCs w:val="20"/>
        </w:rPr>
        <w:t>Risk of delayed hypersensitivity reactions if drug free interval exceeds 12 weeks.</w:t>
      </w:r>
    </w:p>
    <w:p w14:paraId="7817302A" w14:textId="77777777" w:rsidR="00301D76" w:rsidRPr="000C4A06" w:rsidRDefault="00301D76" w:rsidP="00301D76">
      <w:pPr>
        <w:numPr>
          <w:ilvl w:val="0"/>
          <w:numId w:val="11"/>
        </w:numPr>
        <w:spacing w:after="0"/>
        <w:rPr>
          <w:rFonts w:ascii="Arial" w:hAnsi="Arial" w:cs="Arial"/>
          <w:sz w:val="20"/>
          <w:szCs w:val="20"/>
        </w:rPr>
      </w:pPr>
      <w:r w:rsidRPr="000C4A06">
        <w:rPr>
          <w:rFonts w:ascii="Arial" w:hAnsi="Arial" w:cs="Arial"/>
          <w:sz w:val="20"/>
          <w:szCs w:val="20"/>
        </w:rPr>
        <w:t>Severe needle phobia and potential vascular access problems</w:t>
      </w:r>
    </w:p>
    <w:p w14:paraId="2C9FAC1A" w14:textId="77777777" w:rsidR="00D00143" w:rsidRPr="000C4A06" w:rsidRDefault="00D00143" w:rsidP="00D00143">
      <w:pPr>
        <w:spacing w:after="0"/>
        <w:rPr>
          <w:rFonts w:ascii="Arial" w:hAnsi="Arial" w:cs="Arial"/>
          <w:b/>
          <w:bCs/>
          <w:sz w:val="20"/>
          <w:szCs w:val="20"/>
          <w:u w:val="single"/>
        </w:rPr>
      </w:pPr>
    </w:p>
    <w:p w14:paraId="049A2A34" w14:textId="77777777" w:rsidR="00D00143" w:rsidRPr="000C4A06" w:rsidRDefault="00D00143" w:rsidP="000D11E6">
      <w:pPr>
        <w:spacing w:after="0"/>
        <w:rPr>
          <w:rFonts w:ascii="Arial" w:hAnsi="Arial" w:cs="Arial"/>
          <w:b/>
          <w:bCs/>
          <w:sz w:val="20"/>
          <w:szCs w:val="20"/>
          <w:u w:val="single"/>
        </w:rPr>
      </w:pPr>
      <w:r w:rsidRPr="000C4A06">
        <w:rPr>
          <w:rFonts w:ascii="Arial" w:hAnsi="Arial" w:cs="Arial"/>
          <w:b/>
          <w:bCs/>
          <w:sz w:val="20"/>
          <w:szCs w:val="20"/>
          <w:u w:val="single"/>
        </w:rPr>
        <w:t>Pre-assessment considerations:</w:t>
      </w:r>
    </w:p>
    <w:p w14:paraId="2951CEAE" w14:textId="77777777" w:rsidR="000D11E6" w:rsidRPr="000C4A06" w:rsidRDefault="000D11E6" w:rsidP="000D11E6">
      <w:pPr>
        <w:numPr>
          <w:ilvl w:val="0"/>
          <w:numId w:val="12"/>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Full clinical history</w:t>
      </w:r>
    </w:p>
    <w:p w14:paraId="4272AF1F" w14:textId="77777777" w:rsidR="000D11E6" w:rsidRPr="000C4A06" w:rsidRDefault="000D11E6" w:rsidP="000D11E6">
      <w:pPr>
        <w:numPr>
          <w:ilvl w:val="0"/>
          <w:numId w:val="12"/>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Height, weight, pubertal status</w:t>
      </w:r>
    </w:p>
    <w:p w14:paraId="44B4FDCC" w14:textId="194FA59F" w:rsidR="000D11E6" w:rsidRPr="000C4A06" w:rsidRDefault="000D11E6" w:rsidP="000D11E6">
      <w:pPr>
        <w:numPr>
          <w:ilvl w:val="0"/>
          <w:numId w:val="12"/>
        </w:numPr>
        <w:autoSpaceDE w:val="0"/>
        <w:autoSpaceDN w:val="0"/>
        <w:adjustRightInd w:val="0"/>
        <w:spacing w:after="0" w:line="240" w:lineRule="auto"/>
        <w:rPr>
          <w:rFonts w:ascii="Arial" w:hAnsi="Arial" w:cs="Arial"/>
          <w:sz w:val="20"/>
          <w:szCs w:val="20"/>
        </w:rPr>
      </w:pPr>
      <w:r w:rsidRPr="1643B526">
        <w:rPr>
          <w:rFonts w:ascii="Arial" w:hAnsi="Arial" w:cs="Arial"/>
          <w:sz w:val="20"/>
          <w:szCs w:val="20"/>
        </w:rPr>
        <w:t xml:space="preserve">Immunisation history – Consider delaying infusion </w:t>
      </w:r>
      <w:r w:rsidR="00672584">
        <w:rPr>
          <w:rFonts w:ascii="Arial" w:hAnsi="Arial" w:cs="Arial"/>
          <w:sz w:val="20"/>
          <w:szCs w:val="20"/>
        </w:rPr>
        <w:t xml:space="preserve">for 4 weeks </w:t>
      </w:r>
      <w:r w:rsidRPr="1643B526">
        <w:rPr>
          <w:rFonts w:ascii="Arial" w:hAnsi="Arial" w:cs="Arial"/>
          <w:sz w:val="20"/>
          <w:szCs w:val="20"/>
        </w:rPr>
        <w:t>administration of live vaccinations</w:t>
      </w:r>
      <w:r w:rsidR="00672584">
        <w:rPr>
          <w:rFonts w:ascii="Arial" w:hAnsi="Arial" w:cs="Arial"/>
          <w:sz w:val="20"/>
          <w:szCs w:val="20"/>
        </w:rPr>
        <w:t xml:space="preserve"> as per green book guidance -</w:t>
      </w:r>
      <w:r w:rsidR="00672584" w:rsidRPr="00672584">
        <w:t xml:space="preserve"> </w:t>
      </w:r>
      <w:hyperlink r:id="rId10" w:history="1">
        <w:r w:rsidR="00672584">
          <w:rPr>
            <w:rStyle w:val="Hyperlink"/>
          </w:rPr>
          <w:t>Greenbook_chapter_6.pdf (publishing.service.gov.uk)</w:t>
        </w:r>
      </w:hyperlink>
    </w:p>
    <w:p w14:paraId="6E794429" w14:textId="77777777" w:rsidR="000D11E6" w:rsidRPr="000C4A06" w:rsidRDefault="000D11E6" w:rsidP="000D11E6">
      <w:pPr>
        <w:numPr>
          <w:ilvl w:val="0"/>
          <w:numId w:val="12"/>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Bloods including FBC, ESR, U&amp;E, LFT, creatinine, CRP, ANA, dsDNA, varicella zoster serology.</w:t>
      </w:r>
    </w:p>
    <w:p w14:paraId="3D38DCEB" w14:textId="77777777" w:rsidR="000D11E6" w:rsidRPr="000C4A06" w:rsidRDefault="000D11E6" w:rsidP="000D11E6">
      <w:pPr>
        <w:numPr>
          <w:ilvl w:val="0"/>
          <w:numId w:val="12"/>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Varicella Zoster serology, hepatitis B and C status, HIV status, EBV and CMV IgG should be checked if not done previously and only repeated if thought to be clinically relevant.</w:t>
      </w:r>
    </w:p>
    <w:p w14:paraId="497FFF4F" w14:textId="77777777" w:rsidR="000D11E6" w:rsidRPr="000C4A06" w:rsidRDefault="000D11E6" w:rsidP="000D11E6">
      <w:pPr>
        <w:numPr>
          <w:ilvl w:val="0"/>
          <w:numId w:val="12"/>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lastRenderedPageBreak/>
        <w:t xml:space="preserve">Chest X-ray: </w:t>
      </w:r>
      <w:r w:rsidRPr="000C4A06">
        <w:rPr>
          <w:rFonts w:ascii="Arial" w:hAnsi="Arial" w:cs="Arial"/>
          <w:sz w:val="20"/>
          <w:szCs w:val="20"/>
          <w:shd w:val="clear" w:color="auto" w:fill="FFFFFF"/>
        </w:rPr>
        <w:t>To be performed and resulted prior to commencing infliximab if not performed in the last 3 months and if no relevant symptoms have developed in the interim.</w:t>
      </w:r>
    </w:p>
    <w:p w14:paraId="4E724EAB" w14:textId="52F023BA" w:rsidR="000D11E6" w:rsidRPr="000C4A06" w:rsidRDefault="000D11E6" w:rsidP="000D11E6">
      <w:pPr>
        <w:numPr>
          <w:ilvl w:val="0"/>
          <w:numId w:val="12"/>
        </w:numPr>
        <w:autoSpaceDE w:val="0"/>
        <w:autoSpaceDN w:val="0"/>
        <w:adjustRightInd w:val="0"/>
        <w:spacing w:after="0" w:line="240" w:lineRule="auto"/>
        <w:rPr>
          <w:rFonts w:ascii="Arial" w:hAnsi="Arial" w:cs="Arial"/>
          <w:sz w:val="20"/>
          <w:szCs w:val="20"/>
        </w:rPr>
      </w:pPr>
      <w:proofErr w:type="spellStart"/>
      <w:r w:rsidRPr="1643B526">
        <w:rPr>
          <w:rFonts w:ascii="Arial" w:hAnsi="Arial" w:cs="Arial"/>
          <w:sz w:val="20"/>
          <w:szCs w:val="20"/>
        </w:rPr>
        <w:t>Quantiferon</w:t>
      </w:r>
      <w:proofErr w:type="spellEnd"/>
      <w:r w:rsidRPr="1643B526">
        <w:rPr>
          <w:rFonts w:ascii="Arial" w:hAnsi="Arial" w:cs="Arial"/>
          <w:sz w:val="20"/>
          <w:szCs w:val="20"/>
        </w:rPr>
        <w:t xml:space="preserve"> gold</w:t>
      </w:r>
      <w:r w:rsidR="00672584">
        <w:rPr>
          <w:rFonts w:ascii="Arial" w:hAnsi="Arial" w:cs="Arial"/>
          <w:sz w:val="20"/>
          <w:szCs w:val="20"/>
        </w:rPr>
        <w:t>/</w:t>
      </w:r>
      <w:proofErr w:type="spellStart"/>
      <w:r w:rsidR="00672584">
        <w:rPr>
          <w:rFonts w:ascii="Arial" w:hAnsi="Arial" w:cs="Arial"/>
          <w:sz w:val="20"/>
          <w:szCs w:val="20"/>
        </w:rPr>
        <w:t>Elispot</w:t>
      </w:r>
      <w:proofErr w:type="spellEnd"/>
      <w:r w:rsidRPr="1643B526">
        <w:rPr>
          <w:rFonts w:ascii="Arial" w:hAnsi="Arial" w:cs="Arial"/>
          <w:sz w:val="20"/>
          <w:szCs w:val="20"/>
        </w:rPr>
        <w:t xml:space="preserve"> (can use Mantoux as an alternative if quick result needed)</w:t>
      </w:r>
    </w:p>
    <w:p w14:paraId="1240CF37" w14:textId="77777777" w:rsidR="000D11E6" w:rsidRPr="000C4A06" w:rsidRDefault="000D11E6" w:rsidP="000D11E6">
      <w:pPr>
        <w:numPr>
          <w:ilvl w:val="0"/>
          <w:numId w:val="12"/>
        </w:numPr>
        <w:autoSpaceDE w:val="0"/>
        <w:autoSpaceDN w:val="0"/>
        <w:adjustRightInd w:val="0"/>
        <w:spacing w:after="0" w:line="240" w:lineRule="auto"/>
        <w:rPr>
          <w:rFonts w:ascii="Arial" w:hAnsi="Arial" w:cs="Arial"/>
          <w:sz w:val="20"/>
          <w:szCs w:val="20"/>
        </w:rPr>
      </w:pPr>
      <w:r w:rsidRPr="1643B526">
        <w:rPr>
          <w:rFonts w:ascii="Arial" w:hAnsi="Arial" w:cs="Arial"/>
          <w:sz w:val="20"/>
          <w:szCs w:val="20"/>
        </w:rPr>
        <w:t xml:space="preserve">Pregnancy test for all females over 12 years of age who have reached menarche. </w:t>
      </w:r>
    </w:p>
    <w:p w14:paraId="5B5A2355" w14:textId="77777777" w:rsidR="000D11E6" w:rsidRPr="000C4A06" w:rsidRDefault="000D11E6" w:rsidP="000D11E6">
      <w:pPr>
        <w:numPr>
          <w:ilvl w:val="0"/>
          <w:numId w:val="12"/>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Patient information to be given and discussed with the patient and carers</w:t>
      </w:r>
    </w:p>
    <w:p w14:paraId="2C0A501E" w14:textId="77777777" w:rsidR="000D11E6" w:rsidRPr="000C4A06" w:rsidRDefault="000D11E6" w:rsidP="000D11E6">
      <w:pPr>
        <w:spacing w:after="0"/>
        <w:rPr>
          <w:rFonts w:ascii="Arial" w:hAnsi="Arial" w:cs="Arial"/>
          <w:b/>
          <w:bCs/>
          <w:sz w:val="20"/>
          <w:szCs w:val="20"/>
          <w:u w:val="single"/>
        </w:rPr>
      </w:pPr>
    </w:p>
    <w:p w14:paraId="22B05961" w14:textId="77777777" w:rsidR="00D00143" w:rsidRPr="000C4A06" w:rsidRDefault="00D00143" w:rsidP="00D00143">
      <w:pPr>
        <w:spacing w:after="0"/>
        <w:rPr>
          <w:rFonts w:ascii="Arial" w:hAnsi="Arial" w:cs="Arial"/>
          <w:b/>
          <w:bCs/>
          <w:sz w:val="20"/>
          <w:szCs w:val="20"/>
          <w:u w:val="single"/>
        </w:rPr>
      </w:pPr>
    </w:p>
    <w:p w14:paraId="6261A6D8" w14:textId="77777777" w:rsidR="000D11E6" w:rsidRPr="000C4A06" w:rsidRDefault="00D00143" w:rsidP="00D00143">
      <w:pPr>
        <w:spacing w:after="0"/>
        <w:rPr>
          <w:rFonts w:ascii="Arial" w:hAnsi="Arial" w:cs="Arial"/>
          <w:b/>
          <w:bCs/>
          <w:sz w:val="20"/>
          <w:szCs w:val="20"/>
          <w:u w:val="single"/>
        </w:rPr>
      </w:pPr>
      <w:r w:rsidRPr="000C4A06">
        <w:rPr>
          <w:rFonts w:ascii="Arial" w:hAnsi="Arial" w:cs="Arial"/>
          <w:b/>
          <w:bCs/>
          <w:sz w:val="20"/>
          <w:szCs w:val="20"/>
          <w:u w:val="single"/>
        </w:rPr>
        <w:t xml:space="preserve">Dosage </w:t>
      </w:r>
    </w:p>
    <w:p w14:paraId="574A86AE" w14:textId="77777777" w:rsidR="000D11E6" w:rsidRPr="000C4A06" w:rsidRDefault="000D11E6" w:rsidP="00D00143">
      <w:pPr>
        <w:spacing w:after="0"/>
        <w:rPr>
          <w:rFonts w:ascii="Arial" w:hAnsi="Arial" w:cs="Arial"/>
          <w:b/>
          <w:bCs/>
          <w:sz w:val="20"/>
          <w:szCs w:val="20"/>
          <w:u w:val="single"/>
        </w:rPr>
      </w:pPr>
    </w:p>
    <w:p w14:paraId="611DB5B9" w14:textId="77777777" w:rsidR="000D11E6" w:rsidRPr="000C4A06" w:rsidRDefault="000D11E6" w:rsidP="000D11E6">
      <w:pPr>
        <w:pStyle w:val="ListParagraph"/>
        <w:numPr>
          <w:ilvl w:val="0"/>
          <w:numId w:val="13"/>
        </w:numPr>
        <w:spacing w:after="200" w:line="276" w:lineRule="auto"/>
        <w:jc w:val="both"/>
        <w:rPr>
          <w:rFonts w:ascii="Arial" w:hAnsi="Arial" w:cs="Arial"/>
          <w:sz w:val="20"/>
          <w:szCs w:val="20"/>
        </w:rPr>
      </w:pPr>
      <w:r w:rsidRPr="000C4A06">
        <w:rPr>
          <w:rFonts w:ascii="Arial" w:hAnsi="Arial" w:cs="Arial"/>
          <w:b/>
          <w:sz w:val="20"/>
          <w:szCs w:val="20"/>
        </w:rPr>
        <w:t xml:space="preserve">Induction </w:t>
      </w:r>
    </w:p>
    <w:p w14:paraId="4BD1655B" w14:textId="77777777" w:rsidR="000D11E6" w:rsidRPr="000C4A06" w:rsidRDefault="000D11E6" w:rsidP="000D11E6">
      <w:pPr>
        <w:jc w:val="both"/>
        <w:rPr>
          <w:rFonts w:ascii="Arial" w:hAnsi="Arial" w:cs="Arial"/>
          <w:sz w:val="20"/>
          <w:szCs w:val="20"/>
        </w:rPr>
      </w:pPr>
      <w:r w:rsidRPr="000C4A06">
        <w:rPr>
          <w:rFonts w:ascii="Arial" w:hAnsi="Arial" w:cs="Arial"/>
          <w:sz w:val="20"/>
          <w:szCs w:val="20"/>
        </w:rPr>
        <w:t>Infliximab will be administered at a dose of 6</w:t>
      </w:r>
      <w:r w:rsidR="00B06865">
        <w:rPr>
          <w:rFonts w:ascii="Arial" w:hAnsi="Arial" w:cs="Arial"/>
          <w:sz w:val="20"/>
          <w:szCs w:val="20"/>
        </w:rPr>
        <w:t>mg/kg, rounded to the nearest 10</w:t>
      </w:r>
      <w:r w:rsidRPr="000C4A06">
        <w:rPr>
          <w:rFonts w:ascii="Arial" w:hAnsi="Arial" w:cs="Arial"/>
          <w:sz w:val="20"/>
          <w:szCs w:val="20"/>
        </w:rPr>
        <w:t xml:space="preserve">mg, as an intravenous infusion over a </w:t>
      </w:r>
      <w:proofErr w:type="gramStart"/>
      <w:r w:rsidRPr="000C4A06">
        <w:rPr>
          <w:rFonts w:ascii="Arial" w:hAnsi="Arial" w:cs="Arial"/>
          <w:sz w:val="20"/>
          <w:szCs w:val="20"/>
        </w:rPr>
        <w:t>2 hour</w:t>
      </w:r>
      <w:proofErr w:type="gramEnd"/>
      <w:r w:rsidRPr="000C4A06">
        <w:rPr>
          <w:rFonts w:ascii="Arial" w:hAnsi="Arial" w:cs="Arial"/>
          <w:sz w:val="20"/>
          <w:szCs w:val="20"/>
        </w:rPr>
        <w:t xml:space="preserve"> period using the following regimen:</w:t>
      </w:r>
    </w:p>
    <w:p w14:paraId="3B2A2428" w14:textId="77777777" w:rsidR="000D11E6" w:rsidRPr="000C4A06" w:rsidRDefault="000D11E6" w:rsidP="000D11E6">
      <w:pPr>
        <w:spacing w:after="0" w:line="240" w:lineRule="auto"/>
        <w:ind w:left="360"/>
        <w:jc w:val="both"/>
        <w:rPr>
          <w:rFonts w:ascii="Arial" w:hAnsi="Arial" w:cs="Arial"/>
          <w:sz w:val="20"/>
          <w:szCs w:val="20"/>
        </w:rPr>
      </w:pPr>
      <w:r w:rsidRPr="000C4A06">
        <w:rPr>
          <w:rFonts w:ascii="Arial" w:hAnsi="Arial" w:cs="Arial"/>
          <w:sz w:val="20"/>
          <w:szCs w:val="20"/>
        </w:rPr>
        <w:tab/>
      </w:r>
      <w:r w:rsidRPr="000C4A06">
        <w:rPr>
          <w:rFonts w:ascii="Arial" w:hAnsi="Arial" w:cs="Arial"/>
          <w:sz w:val="20"/>
          <w:szCs w:val="20"/>
        </w:rPr>
        <w:tab/>
        <w:t>1</w:t>
      </w:r>
      <w:r w:rsidRPr="000C4A06">
        <w:rPr>
          <w:rFonts w:ascii="Arial" w:hAnsi="Arial" w:cs="Arial"/>
          <w:sz w:val="20"/>
          <w:szCs w:val="20"/>
          <w:vertAlign w:val="superscript"/>
        </w:rPr>
        <w:t>st</w:t>
      </w:r>
      <w:r w:rsidR="00B06865">
        <w:rPr>
          <w:rFonts w:ascii="Arial" w:hAnsi="Arial" w:cs="Arial"/>
          <w:sz w:val="20"/>
          <w:szCs w:val="20"/>
        </w:rPr>
        <w:t xml:space="preserve"> Dose</w:t>
      </w:r>
      <w:r w:rsidR="00B06865">
        <w:rPr>
          <w:rFonts w:ascii="Arial" w:hAnsi="Arial" w:cs="Arial"/>
          <w:sz w:val="20"/>
          <w:szCs w:val="20"/>
        </w:rPr>
        <w:tab/>
      </w:r>
      <w:r w:rsidRPr="000C4A06">
        <w:rPr>
          <w:rFonts w:ascii="Arial" w:hAnsi="Arial" w:cs="Arial"/>
          <w:sz w:val="20"/>
          <w:szCs w:val="20"/>
        </w:rPr>
        <w:t xml:space="preserve">– </w:t>
      </w:r>
      <w:r w:rsidRPr="000C4A06">
        <w:rPr>
          <w:rFonts w:ascii="Arial" w:hAnsi="Arial" w:cs="Arial"/>
          <w:sz w:val="20"/>
          <w:szCs w:val="20"/>
        </w:rPr>
        <w:tab/>
        <w:t>Week 0</w:t>
      </w:r>
    </w:p>
    <w:p w14:paraId="5AB9F30A" w14:textId="77777777" w:rsidR="000D11E6" w:rsidRPr="000C4A06" w:rsidRDefault="000D11E6" w:rsidP="000D11E6">
      <w:pPr>
        <w:spacing w:after="0" w:line="240" w:lineRule="auto"/>
        <w:ind w:left="360"/>
        <w:jc w:val="both"/>
        <w:rPr>
          <w:rFonts w:ascii="Arial" w:hAnsi="Arial" w:cs="Arial"/>
          <w:sz w:val="20"/>
          <w:szCs w:val="20"/>
        </w:rPr>
      </w:pPr>
      <w:r w:rsidRPr="000C4A06">
        <w:rPr>
          <w:rFonts w:ascii="Arial" w:hAnsi="Arial" w:cs="Arial"/>
          <w:sz w:val="20"/>
          <w:szCs w:val="20"/>
        </w:rPr>
        <w:tab/>
      </w:r>
      <w:r w:rsidRPr="000C4A06">
        <w:rPr>
          <w:rFonts w:ascii="Arial" w:hAnsi="Arial" w:cs="Arial"/>
          <w:sz w:val="20"/>
          <w:szCs w:val="20"/>
        </w:rPr>
        <w:tab/>
        <w:t>2</w:t>
      </w:r>
      <w:r w:rsidRPr="000C4A06">
        <w:rPr>
          <w:rFonts w:ascii="Arial" w:hAnsi="Arial" w:cs="Arial"/>
          <w:sz w:val="20"/>
          <w:szCs w:val="20"/>
          <w:vertAlign w:val="superscript"/>
        </w:rPr>
        <w:t>nd</w:t>
      </w:r>
      <w:r w:rsidRPr="000C4A06">
        <w:rPr>
          <w:rFonts w:ascii="Arial" w:hAnsi="Arial" w:cs="Arial"/>
          <w:sz w:val="20"/>
          <w:szCs w:val="20"/>
        </w:rPr>
        <w:t xml:space="preserve"> Dose </w:t>
      </w:r>
      <w:r w:rsidRPr="000C4A06">
        <w:rPr>
          <w:rFonts w:ascii="Arial" w:hAnsi="Arial" w:cs="Arial"/>
          <w:sz w:val="20"/>
          <w:szCs w:val="20"/>
        </w:rPr>
        <w:tab/>
        <w:t xml:space="preserve">– </w:t>
      </w:r>
      <w:r w:rsidRPr="000C4A06">
        <w:rPr>
          <w:rFonts w:ascii="Arial" w:hAnsi="Arial" w:cs="Arial"/>
          <w:sz w:val="20"/>
          <w:szCs w:val="20"/>
        </w:rPr>
        <w:tab/>
        <w:t>Week 2</w:t>
      </w:r>
    </w:p>
    <w:p w14:paraId="2AAD9EAD" w14:textId="77777777" w:rsidR="000D11E6" w:rsidRPr="000C4A06" w:rsidRDefault="000D11E6" w:rsidP="000D11E6">
      <w:pPr>
        <w:rPr>
          <w:rFonts w:ascii="Arial" w:hAnsi="Arial" w:cs="Arial"/>
          <w:sz w:val="20"/>
          <w:szCs w:val="20"/>
        </w:rPr>
      </w:pPr>
      <w:r w:rsidRPr="000C4A06">
        <w:rPr>
          <w:rFonts w:ascii="Arial" w:hAnsi="Arial" w:cs="Arial"/>
          <w:sz w:val="20"/>
          <w:szCs w:val="20"/>
        </w:rPr>
        <w:tab/>
      </w:r>
      <w:r w:rsidRPr="000C4A06">
        <w:rPr>
          <w:rFonts w:ascii="Arial" w:hAnsi="Arial" w:cs="Arial"/>
          <w:sz w:val="20"/>
          <w:szCs w:val="20"/>
        </w:rPr>
        <w:tab/>
        <w:t>3</w:t>
      </w:r>
      <w:r w:rsidRPr="000C4A06">
        <w:rPr>
          <w:rFonts w:ascii="Arial" w:hAnsi="Arial" w:cs="Arial"/>
          <w:sz w:val="20"/>
          <w:szCs w:val="20"/>
          <w:vertAlign w:val="superscript"/>
        </w:rPr>
        <w:t>rd</w:t>
      </w:r>
      <w:r w:rsidRPr="000C4A06">
        <w:rPr>
          <w:rFonts w:ascii="Arial" w:hAnsi="Arial" w:cs="Arial"/>
          <w:sz w:val="20"/>
          <w:szCs w:val="20"/>
        </w:rPr>
        <w:t xml:space="preserve"> Dose</w:t>
      </w:r>
      <w:r w:rsidRPr="000C4A06">
        <w:rPr>
          <w:rFonts w:ascii="Arial" w:hAnsi="Arial" w:cs="Arial"/>
          <w:sz w:val="20"/>
          <w:szCs w:val="20"/>
        </w:rPr>
        <w:tab/>
        <w:t xml:space="preserve">– </w:t>
      </w:r>
      <w:r w:rsidRPr="000C4A06">
        <w:rPr>
          <w:rFonts w:ascii="Arial" w:hAnsi="Arial" w:cs="Arial"/>
          <w:sz w:val="20"/>
          <w:szCs w:val="20"/>
        </w:rPr>
        <w:tab/>
        <w:t>Week 6</w:t>
      </w:r>
    </w:p>
    <w:p w14:paraId="61AD16BB" w14:textId="77777777" w:rsidR="000D11E6" w:rsidRPr="000C4A06" w:rsidRDefault="000D11E6" w:rsidP="000D11E6">
      <w:pPr>
        <w:pStyle w:val="ListParagraph"/>
        <w:numPr>
          <w:ilvl w:val="0"/>
          <w:numId w:val="13"/>
        </w:numPr>
        <w:spacing w:after="200" w:line="276" w:lineRule="auto"/>
        <w:rPr>
          <w:rFonts w:ascii="Arial" w:hAnsi="Arial" w:cs="Arial"/>
          <w:b/>
          <w:sz w:val="20"/>
          <w:szCs w:val="20"/>
        </w:rPr>
      </w:pPr>
      <w:r w:rsidRPr="000C4A06">
        <w:rPr>
          <w:rFonts w:ascii="Arial" w:hAnsi="Arial" w:cs="Arial"/>
          <w:b/>
          <w:sz w:val="20"/>
          <w:szCs w:val="20"/>
        </w:rPr>
        <w:t>Maintenance</w:t>
      </w:r>
    </w:p>
    <w:p w14:paraId="484DF380" w14:textId="77777777" w:rsidR="000D11E6" w:rsidRPr="000C4A06" w:rsidRDefault="000D11E6" w:rsidP="000D11E6">
      <w:pPr>
        <w:rPr>
          <w:rFonts w:ascii="Arial" w:hAnsi="Arial" w:cs="Arial"/>
          <w:sz w:val="20"/>
          <w:szCs w:val="20"/>
        </w:rPr>
      </w:pPr>
      <w:r w:rsidRPr="000C4A06">
        <w:rPr>
          <w:rFonts w:ascii="Arial" w:hAnsi="Arial" w:cs="Arial"/>
          <w:sz w:val="20"/>
          <w:szCs w:val="20"/>
        </w:rPr>
        <w:t xml:space="preserve">Standard dosing is 6mg/kg as an intravenous infusion every 4-8 weeks, adjusted depending on response and trough drug levels. Dose and frequency will be adjusted in </w:t>
      </w:r>
      <w:r w:rsidR="00B06865">
        <w:rPr>
          <w:rFonts w:ascii="Arial" w:hAnsi="Arial" w:cs="Arial"/>
          <w:sz w:val="20"/>
          <w:szCs w:val="20"/>
        </w:rPr>
        <w:t xml:space="preserve">response to clinical response </w:t>
      </w:r>
      <w:r w:rsidRPr="000C4A06">
        <w:rPr>
          <w:rFonts w:ascii="Arial" w:hAnsi="Arial" w:cs="Arial"/>
          <w:sz w:val="20"/>
          <w:szCs w:val="20"/>
        </w:rPr>
        <w:t>plu</w:t>
      </w:r>
      <w:r w:rsidR="00B06865">
        <w:rPr>
          <w:rFonts w:ascii="Arial" w:hAnsi="Arial" w:cs="Arial"/>
          <w:sz w:val="20"/>
          <w:szCs w:val="20"/>
        </w:rPr>
        <w:t>s therapeutic drug monitoring. D</w:t>
      </w:r>
      <w:r w:rsidRPr="000C4A06">
        <w:rPr>
          <w:rFonts w:ascii="Arial" w:hAnsi="Arial" w:cs="Arial"/>
          <w:sz w:val="20"/>
          <w:szCs w:val="20"/>
        </w:rPr>
        <w:t>oses of 10mg/kg may be used in severe disease, or if disease control has been lost. This strategy would be initiated only following the advice of the consultant paediatric ophthalmologist or rheumatologist and usually following measurement of infliximab level and antibodies</w:t>
      </w:r>
    </w:p>
    <w:p w14:paraId="71836118" w14:textId="77777777" w:rsidR="000D11E6" w:rsidRPr="000C4A06" w:rsidRDefault="000D11E6" w:rsidP="000D11E6">
      <w:pPr>
        <w:rPr>
          <w:rFonts w:ascii="Arial" w:hAnsi="Arial" w:cs="Arial"/>
          <w:b/>
          <w:sz w:val="20"/>
          <w:szCs w:val="20"/>
          <w:u w:val="single"/>
        </w:rPr>
      </w:pPr>
      <w:r w:rsidRPr="000C4A06">
        <w:rPr>
          <w:rFonts w:ascii="Arial" w:hAnsi="Arial" w:cs="Arial"/>
          <w:b/>
          <w:sz w:val="20"/>
          <w:szCs w:val="20"/>
          <w:u w:val="single"/>
        </w:rPr>
        <w:t>Monitoring Prior to Infusion</w:t>
      </w:r>
    </w:p>
    <w:p w14:paraId="5830CFA0" w14:textId="77777777" w:rsidR="000D11E6" w:rsidRPr="000C4A06" w:rsidRDefault="000D11E6" w:rsidP="000D11E6">
      <w:pPr>
        <w:rPr>
          <w:rFonts w:ascii="Arial" w:hAnsi="Arial" w:cs="Arial"/>
          <w:sz w:val="20"/>
          <w:szCs w:val="20"/>
        </w:rPr>
      </w:pPr>
      <w:r w:rsidRPr="000C4A06">
        <w:rPr>
          <w:rFonts w:ascii="Arial" w:hAnsi="Arial" w:cs="Arial"/>
          <w:sz w:val="20"/>
          <w:szCs w:val="20"/>
        </w:rPr>
        <w:t>Ensure the following is complete before commencing the infusion:</w:t>
      </w:r>
    </w:p>
    <w:p w14:paraId="639A1B58"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Pregnancy test for all females over 12 years of age who have reached menarche. </w:t>
      </w:r>
    </w:p>
    <w:p w14:paraId="2A17E03A"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Ensure there is no underlying infection.</w:t>
      </w:r>
    </w:p>
    <w:p w14:paraId="7101E211"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Site an intravenous cannula in an appropriate vein.</w:t>
      </w:r>
    </w:p>
    <w:p w14:paraId="704A8D93"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Take bloods to check FBC, U&amp;E’s, LFTs, CRP, and ESR – do not wait for blood results before starting. </w:t>
      </w:r>
    </w:p>
    <w:p w14:paraId="772633B7"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Infliximab level</w:t>
      </w:r>
      <w:r w:rsidR="00B06865">
        <w:rPr>
          <w:rFonts w:ascii="Arial" w:hAnsi="Arial" w:cs="Arial"/>
          <w:sz w:val="20"/>
          <w:szCs w:val="20"/>
        </w:rPr>
        <w:t>s and antibodies if requested</w:t>
      </w:r>
      <w:r w:rsidRPr="000C4A06">
        <w:rPr>
          <w:rFonts w:ascii="Arial" w:hAnsi="Arial" w:cs="Arial"/>
          <w:sz w:val="20"/>
          <w:szCs w:val="20"/>
        </w:rPr>
        <w:t>.</w:t>
      </w:r>
    </w:p>
    <w:p w14:paraId="0F9AE24D" w14:textId="77777777" w:rsidR="000D11E6" w:rsidRPr="000C4A06" w:rsidRDefault="000D11E6" w:rsidP="000D11E6">
      <w:pPr>
        <w:numPr>
          <w:ilvl w:val="0"/>
          <w:numId w:val="14"/>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Baseline temperature, pulse, respiratory rate, blood pressure. Record these immediately prior to commencing the infusion.</w:t>
      </w:r>
      <w:r w:rsidRPr="000C4A06">
        <w:rPr>
          <w:rFonts w:ascii="Arial" w:hAnsi="Arial" w:cs="Arial"/>
          <w:b/>
          <w:sz w:val="20"/>
          <w:szCs w:val="20"/>
          <w:u w:val="single"/>
        </w:rPr>
        <w:t xml:space="preserve"> </w:t>
      </w:r>
    </w:p>
    <w:p w14:paraId="43E87053" w14:textId="77777777" w:rsidR="000D11E6" w:rsidRPr="000C4A06" w:rsidRDefault="000D11E6" w:rsidP="00D00143">
      <w:pPr>
        <w:spacing w:after="0"/>
        <w:rPr>
          <w:rFonts w:ascii="Arial" w:hAnsi="Arial" w:cs="Arial"/>
          <w:b/>
          <w:bCs/>
          <w:sz w:val="20"/>
          <w:szCs w:val="20"/>
          <w:u w:val="single"/>
        </w:rPr>
      </w:pPr>
    </w:p>
    <w:p w14:paraId="4729FD83" w14:textId="77777777" w:rsidR="00D440A1" w:rsidRPr="000C4A06" w:rsidRDefault="00D440A1" w:rsidP="1643B526">
      <w:pPr>
        <w:rPr>
          <w:rFonts w:ascii="Arial" w:hAnsi="Arial" w:cs="Arial"/>
          <w:b/>
          <w:bCs/>
          <w:sz w:val="20"/>
          <w:szCs w:val="20"/>
          <w:u w:val="single"/>
        </w:rPr>
      </w:pPr>
      <w:r w:rsidRPr="1643B526">
        <w:rPr>
          <w:rFonts w:ascii="Arial" w:hAnsi="Arial" w:cs="Arial"/>
          <w:b/>
          <w:bCs/>
          <w:sz w:val="20"/>
          <w:szCs w:val="20"/>
          <w:u w:val="single"/>
        </w:rPr>
        <w:t>Hydrocortisone Pre-medication</w:t>
      </w:r>
    </w:p>
    <w:p w14:paraId="540845FE" w14:textId="77777777" w:rsidR="00672584" w:rsidRDefault="00D440A1" w:rsidP="00D00143">
      <w:pPr>
        <w:spacing w:after="0"/>
        <w:rPr>
          <w:rFonts w:ascii="Arial" w:hAnsi="Arial" w:cs="Arial"/>
          <w:sz w:val="20"/>
          <w:szCs w:val="20"/>
        </w:rPr>
      </w:pPr>
      <w:r w:rsidRPr="000C4A06">
        <w:rPr>
          <w:rFonts w:ascii="Arial" w:hAnsi="Arial" w:cs="Arial"/>
          <w:sz w:val="20"/>
          <w:szCs w:val="20"/>
        </w:rPr>
        <w:t xml:space="preserve">In those patients who have experienced previous mild/moderate infusion reactions the following premedication should be administered 30 minutes prior to infusion commencing. </w:t>
      </w:r>
      <w:r w:rsidR="00672584">
        <w:rPr>
          <w:rFonts w:ascii="Arial" w:hAnsi="Arial" w:cs="Arial"/>
          <w:sz w:val="20"/>
          <w:szCs w:val="20"/>
        </w:rPr>
        <w:t>This could also be considered if a patient has admitted non-compliance with co-medication in which case their risk of infusion reaction is theoretically higher.</w:t>
      </w:r>
    </w:p>
    <w:p w14:paraId="30EF70DE" w14:textId="69CC0C7F" w:rsidR="00D440A1" w:rsidRPr="000C4A06" w:rsidRDefault="00D440A1" w:rsidP="00D00143">
      <w:pPr>
        <w:spacing w:after="0"/>
        <w:rPr>
          <w:rFonts w:ascii="Arial" w:hAnsi="Arial" w:cs="Arial"/>
          <w:sz w:val="20"/>
          <w:szCs w:val="20"/>
        </w:rPr>
      </w:pPr>
      <w:r w:rsidRPr="000C4A06">
        <w:rPr>
          <w:rFonts w:ascii="Arial" w:hAnsi="Arial" w:cs="Arial"/>
          <w:sz w:val="20"/>
          <w:szCs w:val="20"/>
        </w:rPr>
        <w:t xml:space="preserve">Hydrocortisone (sodium succinate) intravenous bolus injection dosing: </w:t>
      </w:r>
    </w:p>
    <w:p w14:paraId="6CC9CC2A" w14:textId="77777777" w:rsidR="00D440A1" w:rsidRPr="000C4A06" w:rsidRDefault="00D440A1" w:rsidP="00D00143">
      <w:pPr>
        <w:spacing w:after="0"/>
        <w:rPr>
          <w:rFonts w:ascii="Arial" w:hAnsi="Arial" w:cs="Arial"/>
          <w:sz w:val="20"/>
          <w:szCs w:val="20"/>
        </w:rPr>
      </w:pPr>
    </w:p>
    <w:p w14:paraId="14AA4718" w14:textId="77777777" w:rsidR="00D440A1" w:rsidRPr="000C4A06" w:rsidRDefault="00D440A1" w:rsidP="00D440A1">
      <w:pPr>
        <w:pStyle w:val="ListParagraph"/>
        <w:numPr>
          <w:ilvl w:val="0"/>
          <w:numId w:val="13"/>
        </w:numPr>
        <w:rPr>
          <w:rFonts w:ascii="Arial" w:hAnsi="Arial" w:cs="Arial"/>
          <w:sz w:val="20"/>
          <w:szCs w:val="20"/>
        </w:rPr>
      </w:pPr>
      <w:r w:rsidRPr="000C4A06">
        <w:rPr>
          <w:rFonts w:ascii="Arial" w:hAnsi="Arial" w:cs="Arial"/>
          <w:sz w:val="20"/>
          <w:szCs w:val="20"/>
        </w:rPr>
        <w:t xml:space="preserve">Children aged 1 - 5 years - 50mg </w:t>
      </w:r>
    </w:p>
    <w:p w14:paraId="6376237B" w14:textId="77777777" w:rsidR="000D11E6" w:rsidRPr="000C4A06" w:rsidRDefault="00D440A1" w:rsidP="00D440A1">
      <w:pPr>
        <w:pStyle w:val="ListParagraph"/>
        <w:numPr>
          <w:ilvl w:val="0"/>
          <w:numId w:val="13"/>
        </w:numPr>
        <w:rPr>
          <w:rFonts w:ascii="Arial" w:hAnsi="Arial" w:cs="Arial"/>
          <w:b/>
          <w:bCs/>
          <w:sz w:val="20"/>
          <w:szCs w:val="20"/>
          <w:u w:val="single"/>
        </w:rPr>
      </w:pPr>
      <w:r w:rsidRPr="000C4A06">
        <w:rPr>
          <w:rFonts w:ascii="Arial" w:hAnsi="Arial" w:cs="Arial"/>
          <w:sz w:val="20"/>
          <w:szCs w:val="20"/>
        </w:rPr>
        <w:t>Children aged 6 - 18 years - 100mg</w:t>
      </w:r>
    </w:p>
    <w:p w14:paraId="463C15A0" w14:textId="77777777" w:rsidR="000D11E6" w:rsidRPr="000C4A06" w:rsidRDefault="000D11E6" w:rsidP="00D00143">
      <w:pPr>
        <w:spacing w:after="0"/>
        <w:rPr>
          <w:rFonts w:ascii="Arial" w:hAnsi="Arial" w:cs="Arial"/>
          <w:b/>
          <w:bCs/>
          <w:sz w:val="20"/>
          <w:szCs w:val="20"/>
          <w:u w:val="single"/>
        </w:rPr>
      </w:pPr>
    </w:p>
    <w:p w14:paraId="0A168334" w14:textId="77777777" w:rsidR="00D440A1" w:rsidRPr="000C4A06" w:rsidRDefault="00D440A1" w:rsidP="00D440A1">
      <w:pPr>
        <w:rPr>
          <w:rFonts w:ascii="Arial" w:hAnsi="Arial" w:cs="Arial"/>
          <w:b/>
          <w:sz w:val="20"/>
          <w:szCs w:val="20"/>
          <w:u w:val="single"/>
        </w:rPr>
      </w:pPr>
      <w:proofErr w:type="gramStart"/>
      <w:r w:rsidRPr="000C4A06">
        <w:rPr>
          <w:rFonts w:ascii="Arial" w:hAnsi="Arial" w:cs="Arial"/>
          <w:b/>
          <w:sz w:val="20"/>
          <w:szCs w:val="20"/>
          <w:u w:val="single"/>
        </w:rPr>
        <w:t>Preparation</w:t>
      </w:r>
      <w:r w:rsidRPr="000C4A06">
        <w:rPr>
          <w:rFonts w:ascii="Arial" w:hAnsi="Arial" w:cs="Arial"/>
          <w:b/>
          <w:sz w:val="20"/>
          <w:szCs w:val="20"/>
          <w:u w:val="single"/>
          <w:vertAlign w:val="superscript"/>
        </w:rPr>
        <w:t>(</w:t>
      </w:r>
      <w:proofErr w:type="gramEnd"/>
      <w:r w:rsidRPr="000C4A06">
        <w:rPr>
          <w:rFonts w:ascii="Arial" w:hAnsi="Arial" w:cs="Arial"/>
          <w:b/>
          <w:sz w:val="20"/>
          <w:szCs w:val="20"/>
          <w:u w:val="single"/>
          <w:vertAlign w:val="superscript"/>
        </w:rPr>
        <w:t>6)</w:t>
      </w:r>
    </w:p>
    <w:p w14:paraId="1CB420D5" w14:textId="77777777" w:rsidR="00D440A1" w:rsidRPr="000C4A06" w:rsidRDefault="00D440A1" w:rsidP="00D440A1">
      <w:pPr>
        <w:rPr>
          <w:rFonts w:ascii="Arial" w:hAnsi="Arial" w:cs="Arial"/>
          <w:sz w:val="20"/>
          <w:szCs w:val="20"/>
        </w:rPr>
      </w:pPr>
      <w:r w:rsidRPr="000C4A06">
        <w:rPr>
          <w:rFonts w:ascii="Arial" w:hAnsi="Arial" w:cs="Arial"/>
          <w:sz w:val="20"/>
          <w:szCs w:val="20"/>
        </w:rPr>
        <w:t>To prepare the infusion:</w:t>
      </w:r>
    </w:p>
    <w:p w14:paraId="455C5509" w14:textId="77777777" w:rsidR="00D440A1" w:rsidRPr="000C4A06" w:rsidRDefault="00D440A1" w:rsidP="00D440A1">
      <w:pPr>
        <w:numPr>
          <w:ilvl w:val="0"/>
          <w:numId w:val="15"/>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lastRenderedPageBreak/>
        <w:t>Reconstitute each 100</w:t>
      </w:r>
      <w:r w:rsidR="00B06865">
        <w:rPr>
          <w:rFonts w:ascii="Arial" w:hAnsi="Arial" w:cs="Arial"/>
          <w:sz w:val="20"/>
          <w:szCs w:val="20"/>
        </w:rPr>
        <w:t>mg vial of infliximab</w:t>
      </w:r>
      <w:r w:rsidRPr="000C4A06">
        <w:rPr>
          <w:rFonts w:ascii="Arial" w:hAnsi="Arial" w:cs="Arial"/>
          <w:sz w:val="20"/>
          <w:szCs w:val="20"/>
        </w:rPr>
        <w:t xml:space="preserve"> with 10mL of water for injection directing the stream of water to the glass wall of the vial.  Final concentration 10mg/ml.</w:t>
      </w:r>
    </w:p>
    <w:p w14:paraId="023702F4" w14:textId="77777777" w:rsidR="00D440A1" w:rsidRPr="000C4A06" w:rsidRDefault="00D440A1" w:rsidP="00D440A1">
      <w:pPr>
        <w:numPr>
          <w:ilvl w:val="0"/>
          <w:numId w:val="15"/>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Gently swirl the solution by rotating the vial to dissolve the powder.  Avoid prolonged or vigorous agitation.  DO NOT SHAKE.</w:t>
      </w:r>
    </w:p>
    <w:p w14:paraId="13790576" w14:textId="77777777" w:rsidR="00D440A1" w:rsidRPr="000C4A06" w:rsidRDefault="00D440A1" w:rsidP="00D440A1">
      <w:pPr>
        <w:numPr>
          <w:ilvl w:val="0"/>
          <w:numId w:val="15"/>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Allow the reconstituted solution to stand for 5 minutes.</w:t>
      </w:r>
    </w:p>
    <w:p w14:paraId="24D349E7" w14:textId="77777777" w:rsidR="00D440A1" w:rsidRPr="000C4A06" w:rsidRDefault="00D440A1" w:rsidP="00D440A1">
      <w:pPr>
        <w:numPr>
          <w:ilvl w:val="0"/>
          <w:numId w:val="15"/>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Check that the reconstituted solution is colourless or light yellow. Do not use if opaque particles, </w:t>
      </w:r>
      <w:proofErr w:type="gramStart"/>
      <w:r w:rsidRPr="000C4A06">
        <w:rPr>
          <w:rFonts w:ascii="Arial" w:hAnsi="Arial" w:cs="Arial"/>
          <w:sz w:val="20"/>
          <w:szCs w:val="20"/>
        </w:rPr>
        <w:t>discolouration</w:t>
      </w:r>
      <w:proofErr w:type="gramEnd"/>
      <w:r w:rsidRPr="000C4A06">
        <w:rPr>
          <w:rFonts w:ascii="Arial" w:hAnsi="Arial" w:cs="Arial"/>
          <w:sz w:val="20"/>
          <w:szCs w:val="20"/>
        </w:rPr>
        <w:t xml:space="preserve"> or other foreign particles are visible.</w:t>
      </w:r>
    </w:p>
    <w:p w14:paraId="58C6D8B7" w14:textId="77777777" w:rsidR="00D440A1" w:rsidRPr="000C4A06" w:rsidRDefault="00D440A1" w:rsidP="00D440A1">
      <w:pPr>
        <w:numPr>
          <w:ilvl w:val="0"/>
          <w:numId w:val="15"/>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Calculate the required volu</w:t>
      </w:r>
      <w:r w:rsidR="00B06865">
        <w:rPr>
          <w:rFonts w:ascii="Arial" w:hAnsi="Arial" w:cs="Arial"/>
          <w:sz w:val="20"/>
          <w:szCs w:val="20"/>
        </w:rPr>
        <w:t xml:space="preserve">me of reconstituted infliximab </w:t>
      </w:r>
      <w:r w:rsidRPr="000C4A06">
        <w:rPr>
          <w:rFonts w:ascii="Arial" w:hAnsi="Arial" w:cs="Arial"/>
          <w:sz w:val="20"/>
          <w:szCs w:val="20"/>
        </w:rPr>
        <w:t>for the prescribed dose.</w:t>
      </w:r>
    </w:p>
    <w:p w14:paraId="5F74CE5A" w14:textId="77777777" w:rsidR="00D440A1" w:rsidRPr="000C4A06" w:rsidRDefault="00D440A1" w:rsidP="00D440A1">
      <w:pPr>
        <w:numPr>
          <w:ilvl w:val="0"/>
          <w:numId w:val="15"/>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Wi</w:t>
      </w:r>
      <w:r w:rsidR="00B06865">
        <w:rPr>
          <w:rFonts w:ascii="Arial" w:hAnsi="Arial" w:cs="Arial"/>
          <w:sz w:val="20"/>
          <w:szCs w:val="20"/>
        </w:rPr>
        <w:t xml:space="preserve">thdraw the required infliximab </w:t>
      </w:r>
      <w:r w:rsidRPr="000C4A06">
        <w:rPr>
          <w:rFonts w:ascii="Arial" w:hAnsi="Arial" w:cs="Arial"/>
          <w:sz w:val="20"/>
          <w:szCs w:val="20"/>
        </w:rPr>
        <w:t>volume from the 250ml 0.9% sodium chloride infusion bag, ensuring tha</w:t>
      </w:r>
      <w:r w:rsidR="00B06865">
        <w:rPr>
          <w:rFonts w:ascii="Arial" w:hAnsi="Arial" w:cs="Arial"/>
          <w:sz w:val="20"/>
          <w:szCs w:val="20"/>
        </w:rPr>
        <w:t xml:space="preserve">t the final dose of infliximab </w:t>
      </w:r>
      <w:r w:rsidRPr="000C4A06">
        <w:rPr>
          <w:rFonts w:ascii="Arial" w:hAnsi="Arial" w:cs="Arial"/>
          <w:sz w:val="20"/>
          <w:szCs w:val="20"/>
        </w:rPr>
        <w:t>does not exceed 1000mg. For doses above 1000mg contact pharmacy for advice.</w:t>
      </w:r>
    </w:p>
    <w:p w14:paraId="1F1D45CA" w14:textId="77777777" w:rsidR="00D440A1" w:rsidRPr="000C4A06" w:rsidRDefault="00D440A1" w:rsidP="00D440A1">
      <w:pPr>
        <w:numPr>
          <w:ilvl w:val="0"/>
          <w:numId w:val="15"/>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Slowly add the total volu</w:t>
      </w:r>
      <w:r w:rsidR="00B06865">
        <w:rPr>
          <w:rFonts w:ascii="Arial" w:hAnsi="Arial" w:cs="Arial"/>
          <w:sz w:val="20"/>
          <w:szCs w:val="20"/>
        </w:rPr>
        <w:t xml:space="preserve">me of reconstituted infliximab </w:t>
      </w:r>
      <w:r w:rsidRPr="000C4A06">
        <w:rPr>
          <w:rFonts w:ascii="Arial" w:hAnsi="Arial" w:cs="Arial"/>
          <w:sz w:val="20"/>
          <w:szCs w:val="20"/>
        </w:rPr>
        <w:t>to the infusion bag and mix gently.</w:t>
      </w:r>
    </w:p>
    <w:p w14:paraId="410B09DC" w14:textId="77777777" w:rsidR="00D440A1" w:rsidRPr="000C4A06" w:rsidRDefault="00D440A1" w:rsidP="00D00143">
      <w:pPr>
        <w:numPr>
          <w:ilvl w:val="0"/>
          <w:numId w:val="15"/>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The infusion is now ready to be administered.</w:t>
      </w:r>
    </w:p>
    <w:p w14:paraId="5F860E98" w14:textId="77777777" w:rsidR="00D440A1" w:rsidRPr="000C4A06" w:rsidRDefault="00D440A1" w:rsidP="00D00143">
      <w:pPr>
        <w:spacing w:after="0"/>
        <w:rPr>
          <w:rFonts w:ascii="Arial" w:hAnsi="Arial" w:cs="Arial"/>
          <w:b/>
          <w:bCs/>
          <w:sz w:val="20"/>
          <w:szCs w:val="20"/>
          <w:u w:val="single"/>
        </w:rPr>
      </w:pPr>
    </w:p>
    <w:p w14:paraId="34EAB69C" w14:textId="77777777" w:rsidR="00D00143" w:rsidRPr="000C4A06" w:rsidRDefault="00D440A1" w:rsidP="00D00143">
      <w:pPr>
        <w:spacing w:after="0"/>
        <w:rPr>
          <w:rFonts w:ascii="Arial" w:hAnsi="Arial" w:cs="Arial"/>
          <w:sz w:val="20"/>
          <w:szCs w:val="20"/>
        </w:rPr>
      </w:pPr>
      <w:r w:rsidRPr="1643B526">
        <w:rPr>
          <w:rFonts w:ascii="Arial" w:hAnsi="Arial" w:cs="Arial"/>
          <w:b/>
          <w:bCs/>
          <w:sz w:val="20"/>
          <w:szCs w:val="20"/>
          <w:u w:val="single"/>
        </w:rPr>
        <w:t>A</w:t>
      </w:r>
      <w:r w:rsidR="00D00143" w:rsidRPr="1643B526">
        <w:rPr>
          <w:rFonts w:ascii="Arial" w:hAnsi="Arial" w:cs="Arial"/>
          <w:b/>
          <w:bCs/>
          <w:sz w:val="20"/>
          <w:szCs w:val="20"/>
          <w:u w:val="single"/>
        </w:rPr>
        <w:t>dministration:</w:t>
      </w:r>
    </w:p>
    <w:p w14:paraId="2B6C4CE6" w14:textId="77777777" w:rsidR="00D00143" w:rsidRPr="000C4A06" w:rsidRDefault="00D00143" w:rsidP="00D00143">
      <w:pPr>
        <w:spacing w:after="0"/>
        <w:ind w:left="360"/>
        <w:rPr>
          <w:rFonts w:ascii="Arial" w:hAnsi="Arial" w:cs="Arial"/>
          <w:sz w:val="20"/>
          <w:szCs w:val="20"/>
        </w:rPr>
      </w:pPr>
    </w:p>
    <w:p w14:paraId="74CEDF4E" w14:textId="77777777" w:rsidR="00D440A1" w:rsidRPr="000C4A06" w:rsidRDefault="00D440A1" w:rsidP="00D440A1">
      <w:pPr>
        <w:pStyle w:val="ListParagraph"/>
        <w:numPr>
          <w:ilvl w:val="0"/>
          <w:numId w:val="16"/>
        </w:numPr>
        <w:spacing w:after="200" w:line="276" w:lineRule="auto"/>
        <w:rPr>
          <w:rFonts w:ascii="Arial" w:hAnsi="Arial" w:cs="Arial"/>
          <w:sz w:val="20"/>
          <w:szCs w:val="20"/>
        </w:rPr>
      </w:pPr>
      <w:r w:rsidRPr="000C4A06">
        <w:rPr>
          <w:rFonts w:ascii="Arial" w:hAnsi="Arial" w:cs="Arial"/>
          <w:sz w:val="20"/>
          <w:szCs w:val="20"/>
        </w:rPr>
        <w:t>Prior to starting the infusion ensure emergency drugs are available in the ward area in case of any adverse reaction.</w:t>
      </w:r>
    </w:p>
    <w:p w14:paraId="3F59A5AD" w14:textId="77777777" w:rsidR="00D440A1" w:rsidRPr="000C4A06" w:rsidRDefault="00D440A1" w:rsidP="00D440A1">
      <w:pPr>
        <w:pStyle w:val="ListParagraph"/>
        <w:numPr>
          <w:ilvl w:val="0"/>
          <w:numId w:val="16"/>
        </w:numPr>
        <w:spacing w:after="200" w:line="276" w:lineRule="auto"/>
        <w:rPr>
          <w:rStyle w:val="NormalArialChar"/>
          <w:rFonts w:eastAsiaTheme="majorEastAsia"/>
          <w:sz w:val="20"/>
          <w:szCs w:val="20"/>
        </w:rPr>
      </w:pPr>
      <w:r w:rsidRPr="000C4A06">
        <w:rPr>
          <w:rFonts w:ascii="Arial" w:hAnsi="Arial" w:cs="Arial"/>
          <w:sz w:val="20"/>
          <w:szCs w:val="20"/>
        </w:rPr>
        <w:t xml:space="preserve">All medications should be given in accordance </w:t>
      </w:r>
      <w:r w:rsidRPr="000C4A06">
        <w:rPr>
          <w:rStyle w:val="NormalArialChar"/>
          <w:rFonts w:eastAsiaTheme="majorEastAsia"/>
          <w:sz w:val="20"/>
          <w:szCs w:val="20"/>
        </w:rPr>
        <w:t xml:space="preserve">with </w:t>
      </w:r>
      <w:hyperlink r:id="rId11" w:tooltip="http://intranet.lothian.scot.nhs.uk/NHSLothian/Healthcare/ClinicalGuidance/General/Medicines Policy and procedures - December 2009.pdf" w:history="1">
        <w:r w:rsidR="00B06865">
          <w:rPr>
            <w:rStyle w:val="NormalArialChar"/>
            <w:rFonts w:eastAsiaTheme="majorEastAsia"/>
            <w:sz w:val="20"/>
            <w:szCs w:val="20"/>
          </w:rPr>
          <w:t xml:space="preserve">the hospitals </w:t>
        </w:r>
        <w:r w:rsidRPr="000C4A06">
          <w:rPr>
            <w:rStyle w:val="NormalArialChar"/>
            <w:rFonts w:eastAsiaTheme="majorEastAsia"/>
            <w:sz w:val="20"/>
            <w:szCs w:val="20"/>
          </w:rPr>
          <w:t>Safe Use of Medicines Policy</w:t>
        </w:r>
      </w:hyperlink>
      <w:r w:rsidRPr="000C4A06">
        <w:rPr>
          <w:rStyle w:val="NormalArialChar"/>
          <w:rFonts w:eastAsiaTheme="majorEastAsia"/>
          <w:sz w:val="20"/>
          <w:szCs w:val="20"/>
        </w:rPr>
        <w:t>.</w:t>
      </w:r>
    </w:p>
    <w:p w14:paraId="6D35BEE1" w14:textId="77777777" w:rsidR="00D440A1" w:rsidRPr="000C4A06" w:rsidRDefault="00D440A1" w:rsidP="00D440A1">
      <w:pPr>
        <w:pStyle w:val="ListParagraph"/>
        <w:numPr>
          <w:ilvl w:val="0"/>
          <w:numId w:val="16"/>
        </w:numPr>
        <w:spacing w:after="200" w:line="276" w:lineRule="auto"/>
        <w:rPr>
          <w:rStyle w:val="NormalArialChar"/>
          <w:rFonts w:eastAsiaTheme="majorEastAsia"/>
          <w:sz w:val="20"/>
          <w:szCs w:val="20"/>
        </w:rPr>
      </w:pPr>
      <w:r w:rsidRPr="000C4A06">
        <w:rPr>
          <w:rStyle w:val="NormalArialChar"/>
          <w:rFonts w:eastAsiaTheme="majorEastAsia"/>
          <w:sz w:val="20"/>
          <w:szCs w:val="20"/>
        </w:rPr>
        <w:t>Check all prescribed doses of infliximab are correct for the patient.</w:t>
      </w:r>
    </w:p>
    <w:p w14:paraId="41E8A032" w14:textId="77777777" w:rsidR="00D440A1" w:rsidRPr="000C4A06" w:rsidRDefault="00D440A1" w:rsidP="00D440A1">
      <w:pPr>
        <w:pStyle w:val="ListParagraph"/>
        <w:numPr>
          <w:ilvl w:val="0"/>
          <w:numId w:val="16"/>
        </w:numPr>
        <w:spacing w:after="200" w:line="276" w:lineRule="auto"/>
        <w:rPr>
          <w:rFonts w:ascii="Arial" w:hAnsi="Arial" w:cs="Arial"/>
          <w:sz w:val="20"/>
          <w:szCs w:val="20"/>
          <w:u w:val="single"/>
        </w:rPr>
      </w:pPr>
      <w:r w:rsidRPr="000C4A06">
        <w:rPr>
          <w:rStyle w:val="NormalArialChar"/>
          <w:rFonts w:eastAsiaTheme="majorEastAsia"/>
          <w:sz w:val="20"/>
          <w:szCs w:val="20"/>
        </w:rPr>
        <w:t>Administer any prescribed premedication if required.</w:t>
      </w:r>
    </w:p>
    <w:p w14:paraId="14566BB8" w14:textId="77777777" w:rsidR="00D440A1" w:rsidRPr="000C4A06" w:rsidRDefault="00D440A1" w:rsidP="00D440A1">
      <w:pPr>
        <w:pStyle w:val="ListParagraph"/>
        <w:numPr>
          <w:ilvl w:val="0"/>
          <w:numId w:val="16"/>
        </w:numPr>
        <w:spacing w:after="200" w:line="276" w:lineRule="auto"/>
        <w:rPr>
          <w:rFonts w:ascii="Arial" w:hAnsi="Arial" w:cs="Arial"/>
          <w:sz w:val="20"/>
          <w:szCs w:val="20"/>
        </w:rPr>
      </w:pPr>
      <w:r w:rsidRPr="000C4A06">
        <w:rPr>
          <w:rFonts w:ascii="Arial" w:hAnsi="Arial" w:cs="Arial"/>
          <w:sz w:val="20"/>
          <w:szCs w:val="20"/>
        </w:rPr>
        <w:t>Administer infliximab infusion using an infusion set with an in-line, sterile, non-pyrogenic, low protein-binding filter (pore size 1.2 micron or less).</w:t>
      </w:r>
    </w:p>
    <w:p w14:paraId="526F253E" w14:textId="77777777" w:rsidR="00D440A1" w:rsidRPr="000C4A06" w:rsidRDefault="00D440A1" w:rsidP="00D440A1">
      <w:pPr>
        <w:pStyle w:val="ListParagraph"/>
        <w:numPr>
          <w:ilvl w:val="0"/>
          <w:numId w:val="16"/>
        </w:numPr>
        <w:spacing w:after="200" w:line="276" w:lineRule="auto"/>
        <w:rPr>
          <w:rFonts w:ascii="Arial" w:hAnsi="Arial" w:cs="Arial"/>
          <w:sz w:val="20"/>
          <w:szCs w:val="20"/>
        </w:rPr>
      </w:pPr>
      <w:r w:rsidRPr="000C4A06">
        <w:rPr>
          <w:rFonts w:ascii="Arial" w:hAnsi="Arial" w:cs="Arial"/>
          <w:sz w:val="20"/>
          <w:szCs w:val="20"/>
        </w:rPr>
        <w:t xml:space="preserve">Visually inspect the infusion for particulate matter, </w:t>
      </w:r>
      <w:proofErr w:type="gramStart"/>
      <w:r w:rsidRPr="000C4A06">
        <w:rPr>
          <w:rFonts w:ascii="Arial" w:hAnsi="Arial" w:cs="Arial"/>
          <w:sz w:val="20"/>
          <w:szCs w:val="20"/>
        </w:rPr>
        <w:t>discolouration</w:t>
      </w:r>
      <w:proofErr w:type="gramEnd"/>
      <w:r w:rsidRPr="000C4A06">
        <w:rPr>
          <w:rFonts w:ascii="Arial" w:hAnsi="Arial" w:cs="Arial"/>
          <w:sz w:val="20"/>
          <w:szCs w:val="20"/>
        </w:rPr>
        <w:t xml:space="preserve"> or foreign particles.</w:t>
      </w:r>
    </w:p>
    <w:p w14:paraId="0CF4AC98" w14:textId="5E763DD6" w:rsidR="00D440A1" w:rsidRPr="00672584" w:rsidRDefault="00D440A1" w:rsidP="00672584">
      <w:pPr>
        <w:pStyle w:val="ListParagraph"/>
        <w:numPr>
          <w:ilvl w:val="0"/>
          <w:numId w:val="16"/>
        </w:numPr>
        <w:spacing w:after="200" w:line="276" w:lineRule="auto"/>
        <w:rPr>
          <w:rFonts w:ascii="Arial" w:hAnsi="Arial" w:cs="Arial"/>
          <w:sz w:val="20"/>
          <w:szCs w:val="20"/>
        </w:rPr>
      </w:pPr>
      <w:r w:rsidRPr="000C4A06">
        <w:rPr>
          <w:rFonts w:ascii="Arial" w:hAnsi="Arial" w:cs="Arial"/>
          <w:sz w:val="20"/>
          <w:szCs w:val="20"/>
        </w:rPr>
        <w:t>Infuse at 125ml/hr for doses over 2 hours, or 250ml/hr for doses over 1 hour for doses less than 1000mg. For doses above 1000mg contact pharmacy for advice.</w:t>
      </w:r>
      <w:r w:rsidR="00672584">
        <w:rPr>
          <w:rFonts w:ascii="Arial" w:hAnsi="Arial" w:cs="Arial"/>
          <w:sz w:val="20"/>
          <w:szCs w:val="20"/>
        </w:rPr>
        <w:t xml:space="preserve"> (Decision regarding how long to give infusion over may vary according to local protocol and clinician discretion.  </w:t>
      </w:r>
      <w:proofErr w:type="gramStart"/>
      <w:r w:rsidR="00672584">
        <w:rPr>
          <w:rFonts w:ascii="Arial" w:hAnsi="Arial" w:cs="Arial"/>
          <w:sz w:val="20"/>
          <w:szCs w:val="20"/>
        </w:rPr>
        <w:t>Generally</w:t>
      </w:r>
      <w:proofErr w:type="gramEnd"/>
      <w:r w:rsidR="00672584">
        <w:rPr>
          <w:rFonts w:ascii="Arial" w:hAnsi="Arial" w:cs="Arial"/>
          <w:sz w:val="20"/>
          <w:szCs w:val="20"/>
        </w:rPr>
        <w:t xml:space="preserve"> aim to give slower if higher risk of infusion reaction or first time having this medicine. E.g. may wish to give over longer period e.g. 2-3 hours, for the first 3 infusions and then an hour thereafter</w:t>
      </w:r>
      <w:proofErr w:type="gramStart"/>
      <w:r w:rsidR="00672584">
        <w:rPr>
          <w:rFonts w:ascii="Arial" w:hAnsi="Arial" w:cs="Arial"/>
          <w:sz w:val="20"/>
          <w:szCs w:val="20"/>
        </w:rPr>
        <w:t>. )</w:t>
      </w:r>
      <w:proofErr w:type="gramEnd"/>
    </w:p>
    <w:p w14:paraId="218DFA5E" w14:textId="792F3279" w:rsidR="00D440A1" w:rsidRDefault="00D440A1" w:rsidP="00D440A1">
      <w:pPr>
        <w:pStyle w:val="ListParagraph"/>
        <w:numPr>
          <w:ilvl w:val="0"/>
          <w:numId w:val="16"/>
        </w:numPr>
        <w:spacing w:after="200" w:line="276" w:lineRule="auto"/>
        <w:rPr>
          <w:rFonts w:ascii="Arial" w:hAnsi="Arial" w:cs="Arial"/>
          <w:sz w:val="20"/>
          <w:szCs w:val="20"/>
        </w:rPr>
      </w:pPr>
      <w:r w:rsidRPr="000C4A06">
        <w:rPr>
          <w:rFonts w:ascii="Arial" w:hAnsi="Arial" w:cs="Arial"/>
          <w:sz w:val="20"/>
          <w:szCs w:val="20"/>
        </w:rPr>
        <w:t>Flush with 30ml of Sodium Chloride 0.9% at t</w:t>
      </w:r>
      <w:r w:rsidR="00B06865">
        <w:rPr>
          <w:rFonts w:ascii="Arial" w:hAnsi="Arial" w:cs="Arial"/>
          <w:sz w:val="20"/>
          <w:szCs w:val="20"/>
        </w:rPr>
        <w:t xml:space="preserve">he same rate as the infliximab </w:t>
      </w:r>
      <w:r w:rsidRPr="000C4A06">
        <w:rPr>
          <w:rFonts w:ascii="Arial" w:hAnsi="Arial" w:cs="Arial"/>
          <w:sz w:val="20"/>
          <w:szCs w:val="20"/>
        </w:rPr>
        <w:t>infusion.</w:t>
      </w:r>
    </w:p>
    <w:p w14:paraId="22B05634" w14:textId="2F770E22" w:rsidR="00672584" w:rsidRDefault="00672584" w:rsidP="00D440A1">
      <w:pPr>
        <w:pStyle w:val="ListParagraph"/>
        <w:numPr>
          <w:ilvl w:val="0"/>
          <w:numId w:val="16"/>
        </w:numPr>
        <w:spacing w:after="200" w:line="276" w:lineRule="auto"/>
        <w:rPr>
          <w:rFonts w:ascii="Arial" w:hAnsi="Arial" w:cs="Arial"/>
          <w:sz w:val="20"/>
          <w:szCs w:val="20"/>
        </w:rPr>
      </w:pPr>
      <w:r>
        <w:rPr>
          <w:rFonts w:ascii="Arial" w:hAnsi="Arial" w:cs="Arial"/>
          <w:sz w:val="20"/>
          <w:szCs w:val="20"/>
        </w:rPr>
        <w:t>We would encourage patients to stay for an hour after their first 3 infusions</w:t>
      </w:r>
    </w:p>
    <w:p w14:paraId="5ECAB5FF" w14:textId="77777777" w:rsidR="00D440A1" w:rsidRPr="000C4A06" w:rsidRDefault="00D440A1" w:rsidP="00D440A1">
      <w:pPr>
        <w:rPr>
          <w:rFonts w:ascii="Arial" w:eastAsia="Times New Roman" w:hAnsi="Arial" w:cs="Arial"/>
          <w:b/>
          <w:sz w:val="20"/>
          <w:szCs w:val="20"/>
          <w:u w:val="single"/>
        </w:rPr>
      </w:pPr>
      <w:r w:rsidRPr="000C4A06">
        <w:rPr>
          <w:rFonts w:ascii="Arial" w:eastAsia="Times New Roman" w:hAnsi="Arial" w:cs="Arial"/>
          <w:b/>
          <w:sz w:val="20"/>
          <w:szCs w:val="20"/>
          <w:u w:val="single"/>
        </w:rPr>
        <w:t>Monitoring</w:t>
      </w:r>
    </w:p>
    <w:p w14:paraId="21B4ED47" w14:textId="77777777" w:rsidR="00D440A1" w:rsidRPr="000C4A06" w:rsidRDefault="00D440A1" w:rsidP="00D440A1">
      <w:pPr>
        <w:rPr>
          <w:rFonts w:ascii="Arial" w:hAnsi="Arial" w:cs="Arial"/>
          <w:b/>
          <w:sz w:val="20"/>
          <w:szCs w:val="20"/>
          <w:u w:val="single"/>
        </w:rPr>
      </w:pPr>
      <w:r w:rsidRPr="000C4A06">
        <w:rPr>
          <w:rFonts w:ascii="Arial" w:hAnsi="Arial" w:cs="Arial"/>
          <w:b/>
          <w:sz w:val="20"/>
          <w:szCs w:val="20"/>
          <w:u w:val="single"/>
        </w:rPr>
        <w:t>During the infusion</w:t>
      </w:r>
    </w:p>
    <w:p w14:paraId="34FF7703"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Monitor pulse, temperature, respiratory </w:t>
      </w:r>
      <w:proofErr w:type="gramStart"/>
      <w:r w:rsidRPr="000C4A06">
        <w:rPr>
          <w:rFonts w:ascii="Arial" w:hAnsi="Arial" w:cs="Arial"/>
          <w:sz w:val="20"/>
          <w:szCs w:val="20"/>
        </w:rPr>
        <w:t>rate</w:t>
      </w:r>
      <w:proofErr w:type="gramEnd"/>
      <w:r w:rsidRPr="000C4A06">
        <w:rPr>
          <w:rFonts w:ascii="Arial" w:hAnsi="Arial" w:cs="Arial"/>
          <w:sz w:val="20"/>
          <w:szCs w:val="20"/>
        </w:rPr>
        <w:t xml:space="preserve"> and blood pressure every 30 minutes during the infusion.</w:t>
      </w:r>
    </w:p>
    <w:p w14:paraId="47858D19"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Acute infusion reactions may develop anytime during or after the infusion.</w:t>
      </w:r>
    </w:p>
    <w:p w14:paraId="6982DE35" w14:textId="77777777" w:rsidR="00234DCE" w:rsidRPr="00B06865"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If a patient develops a </w:t>
      </w:r>
      <w:proofErr w:type="gramStart"/>
      <w:r w:rsidRPr="000C4A06">
        <w:rPr>
          <w:rFonts w:ascii="Arial" w:hAnsi="Arial" w:cs="Arial"/>
          <w:sz w:val="20"/>
          <w:szCs w:val="20"/>
        </w:rPr>
        <w:t>reaction</w:t>
      </w:r>
      <w:proofErr w:type="gramEnd"/>
      <w:r w:rsidRPr="000C4A06">
        <w:rPr>
          <w:rFonts w:ascii="Arial" w:hAnsi="Arial" w:cs="Arial"/>
          <w:sz w:val="20"/>
          <w:szCs w:val="20"/>
        </w:rPr>
        <w:t xml:space="preserve"> follow the infusion related reaction treatment guidance in appendix A.</w:t>
      </w:r>
    </w:p>
    <w:p w14:paraId="5C938732" w14:textId="77777777" w:rsidR="00234DCE" w:rsidRPr="000C4A06" w:rsidRDefault="00234DCE" w:rsidP="00D440A1">
      <w:pPr>
        <w:autoSpaceDE w:val="0"/>
        <w:autoSpaceDN w:val="0"/>
        <w:adjustRightInd w:val="0"/>
        <w:spacing w:after="0" w:line="240" w:lineRule="auto"/>
        <w:rPr>
          <w:rFonts w:ascii="Arial" w:hAnsi="Arial" w:cs="Arial"/>
          <w:sz w:val="20"/>
          <w:szCs w:val="20"/>
        </w:rPr>
      </w:pPr>
    </w:p>
    <w:p w14:paraId="22B6713E" w14:textId="77777777" w:rsidR="00D440A1" w:rsidRPr="000C4A06" w:rsidRDefault="00D440A1" w:rsidP="00D440A1">
      <w:pPr>
        <w:rPr>
          <w:rFonts w:ascii="Arial" w:hAnsi="Arial" w:cs="Arial"/>
          <w:b/>
          <w:sz w:val="20"/>
          <w:szCs w:val="20"/>
          <w:u w:val="single"/>
        </w:rPr>
      </w:pPr>
      <w:r w:rsidRPr="000C4A06">
        <w:rPr>
          <w:rFonts w:ascii="Arial" w:hAnsi="Arial" w:cs="Arial"/>
          <w:b/>
          <w:sz w:val="20"/>
          <w:szCs w:val="20"/>
          <w:u w:val="single"/>
        </w:rPr>
        <w:t>Post infusion</w:t>
      </w:r>
    </w:p>
    <w:p w14:paraId="4C231676"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Monitor pulse, temperature, respiratory rate and blood pressure every 30 minutes for 1 hour post a </w:t>
      </w:r>
      <w:proofErr w:type="gramStart"/>
      <w:r w:rsidRPr="000C4A06">
        <w:rPr>
          <w:rFonts w:ascii="Arial" w:hAnsi="Arial" w:cs="Arial"/>
          <w:sz w:val="20"/>
          <w:szCs w:val="20"/>
        </w:rPr>
        <w:t>2 hour</w:t>
      </w:r>
      <w:proofErr w:type="gramEnd"/>
      <w:r w:rsidRPr="000C4A06">
        <w:rPr>
          <w:rFonts w:ascii="Arial" w:hAnsi="Arial" w:cs="Arial"/>
          <w:sz w:val="20"/>
          <w:szCs w:val="20"/>
        </w:rPr>
        <w:t xml:space="preserve"> infusion </w:t>
      </w:r>
    </w:p>
    <w:p w14:paraId="79219CE2"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Monitor pulse, temperature, respiratory rate and blood pressure every 30 minutes for 30 minutes post a </w:t>
      </w:r>
      <w:proofErr w:type="gramStart"/>
      <w:r w:rsidRPr="000C4A06">
        <w:rPr>
          <w:rFonts w:ascii="Arial" w:hAnsi="Arial" w:cs="Arial"/>
          <w:sz w:val="20"/>
          <w:szCs w:val="20"/>
        </w:rPr>
        <w:t>1 hour</w:t>
      </w:r>
      <w:proofErr w:type="gramEnd"/>
      <w:r w:rsidRPr="000C4A06">
        <w:rPr>
          <w:rFonts w:ascii="Arial" w:hAnsi="Arial" w:cs="Arial"/>
          <w:sz w:val="20"/>
          <w:szCs w:val="20"/>
        </w:rPr>
        <w:t xml:space="preserve"> infusion. </w:t>
      </w:r>
    </w:p>
    <w:p w14:paraId="198C7926"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 xml:space="preserve">If a patient develops a </w:t>
      </w:r>
      <w:proofErr w:type="gramStart"/>
      <w:r w:rsidRPr="000C4A06">
        <w:rPr>
          <w:rFonts w:ascii="Arial" w:hAnsi="Arial" w:cs="Arial"/>
          <w:sz w:val="20"/>
          <w:szCs w:val="20"/>
        </w:rPr>
        <w:t>reaction</w:t>
      </w:r>
      <w:proofErr w:type="gramEnd"/>
      <w:r w:rsidRPr="000C4A06">
        <w:rPr>
          <w:rFonts w:ascii="Arial" w:hAnsi="Arial" w:cs="Arial"/>
          <w:sz w:val="20"/>
          <w:szCs w:val="20"/>
        </w:rPr>
        <w:t xml:space="preserve"> follow the infusion related reaction treatment guidance in appendix A.</w:t>
      </w:r>
    </w:p>
    <w:p w14:paraId="3D1061C6"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t>Advise patients and carers to report any signs of infection or possible side effects. Delayed hypersensitivity-like reactions may appear 1-14 days after the infusion.</w:t>
      </w:r>
    </w:p>
    <w:p w14:paraId="3883C0E5" w14:textId="77777777" w:rsidR="00D440A1" w:rsidRPr="000C4A06" w:rsidRDefault="00D440A1" w:rsidP="00D440A1">
      <w:pPr>
        <w:numPr>
          <w:ilvl w:val="0"/>
          <w:numId w:val="17"/>
        </w:numPr>
        <w:autoSpaceDE w:val="0"/>
        <w:autoSpaceDN w:val="0"/>
        <w:adjustRightInd w:val="0"/>
        <w:spacing w:after="0" w:line="240" w:lineRule="auto"/>
        <w:rPr>
          <w:rFonts w:ascii="Arial" w:hAnsi="Arial" w:cs="Arial"/>
          <w:sz w:val="20"/>
          <w:szCs w:val="20"/>
        </w:rPr>
      </w:pPr>
      <w:r w:rsidRPr="000C4A06">
        <w:rPr>
          <w:rFonts w:ascii="Arial" w:hAnsi="Arial" w:cs="Arial"/>
          <w:sz w:val="20"/>
          <w:szCs w:val="20"/>
        </w:rPr>
        <w:lastRenderedPageBreak/>
        <w:t>Advise patients and carers to seek immediate medical advice if h</w:t>
      </w:r>
      <w:r w:rsidR="00B06865">
        <w:rPr>
          <w:rFonts w:ascii="Arial" w:hAnsi="Arial" w:cs="Arial"/>
          <w:sz w:val="20"/>
          <w:szCs w:val="20"/>
        </w:rPr>
        <w:t>ypersensitivity symptoms occur. D</w:t>
      </w:r>
      <w:r w:rsidRPr="000C4A06">
        <w:rPr>
          <w:rFonts w:ascii="Arial" w:hAnsi="Arial" w:cs="Arial"/>
          <w:sz w:val="20"/>
          <w:szCs w:val="20"/>
        </w:rPr>
        <w:t>elayed reactions are more likely to occur if a patient has had a previous course of infliximab.</w:t>
      </w:r>
    </w:p>
    <w:p w14:paraId="318BF479" w14:textId="77777777" w:rsidR="00D00143" w:rsidRPr="000C4A06" w:rsidRDefault="00D00143" w:rsidP="00D00143">
      <w:pPr>
        <w:spacing w:after="0"/>
        <w:rPr>
          <w:rFonts w:ascii="Arial" w:hAnsi="Arial" w:cs="Arial"/>
          <w:sz w:val="20"/>
          <w:szCs w:val="20"/>
        </w:rPr>
      </w:pPr>
    </w:p>
    <w:p w14:paraId="612E9348" w14:textId="77777777" w:rsidR="00B06865" w:rsidRDefault="00B06865">
      <w:pPr>
        <w:rPr>
          <w:rFonts w:ascii="Arial" w:hAnsi="Arial" w:cs="Arial"/>
          <w:b/>
          <w:sz w:val="20"/>
          <w:szCs w:val="20"/>
          <w:u w:val="single"/>
        </w:rPr>
      </w:pPr>
      <w:r>
        <w:rPr>
          <w:rFonts w:ascii="Arial" w:hAnsi="Arial" w:cs="Arial"/>
          <w:b/>
          <w:sz w:val="20"/>
          <w:szCs w:val="20"/>
          <w:u w:val="single"/>
        </w:rPr>
        <w:br w:type="page"/>
      </w:r>
    </w:p>
    <w:p w14:paraId="52D51C61" w14:textId="77777777" w:rsidR="00D440A1" w:rsidRPr="000C4A06" w:rsidRDefault="00D440A1" w:rsidP="00D440A1">
      <w:pPr>
        <w:rPr>
          <w:rFonts w:ascii="Arial" w:hAnsi="Arial" w:cs="Arial"/>
          <w:b/>
          <w:sz w:val="20"/>
          <w:szCs w:val="20"/>
          <w:u w:val="single"/>
        </w:rPr>
      </w:pPr>
      <w:r w:rsidRPr="000C4A06">
        <w:rPr>
          <w:rFonts w:ascii="Arial" w:hAnsi="Arial" w:cs="Arial"/>
          <w:b/>
          <w:sz w:val="20"/>
          <w:szCs w:val="20"/>
          <w:u w:val="single"/>
        </w:rPr>
        <w:lastRenderedPageBreak/>
        <w:t>Possible side effects</w:t>
      </w:r>
    </w:p>
    <w:p w14:paraId="54AE8C4E" w14:textId="77777777" w:rsidR="00D440A1" w:rsidRPr="000C4A06" w:rsidRDefault="00D440A1" w:rsidP="00D440A1">
      <w:pPr>
        <w:rPr>
          <w:rFonts w:ascii="Arial" w:hAnsi="Arial" w:cs="Arial"/>
          <w:sz w:val="20"/>
          <w:szCs w:val="20"/>
          <w:u w:val="single"/>
        </w:rPr>
      </w:pPr>
      <w:r w:rsidRPr="000C4A06">
        <w:rPr>
          <w:rFonts w:ascii="Arial" w:hAnsi="Arial" w:cs="Arial"/>
          <w:sz w:val="20"/>
          <w:szCs w:val="20"/>
        </w:rPr>
        <w:t xml:space="preserve">See </w:t>
      </w:r>
      <w:proofErr w:type="spellStart"/>
      <w:r w:rsidRPr="000C4A06">
        <w:rPr>
          <w:rFonts w:ascii="Arial" w:hAnsi="Arial" w:cs="Arial"/>
          <w:sz w:val="20"/>
          <w:szCs w:val="20"/>
        </w:rPr>
        <w:t>BNFc</w:t>
      </w:r>
      <w:proofErr w:type="spellEnd"/>
      <w:r w:rsidRPr="000C4A06">
        <w:rPr>
          <w:rFonts w:ascii="Arial" w:hAnsi="Arial" w:cs="Arial"/>
          <w:sz w:val="20"/>
          <w:szCs w:val="20"/>
        </w:rPr>
        <w:t xml:space="preserve"> or Summary of Product Characteristics for full list of side </w:t>
      </w:r>
      <w:proofErr w:type="gramStart"/>
      <w:r w:rsidRPr="000C4A06">
        <w:rPr>
          <w:rFonts w:ascii="Arial" w:hAnsi="Arial" w:cs="Arial"/>
          <w:sz w:val="20"/>
          <w:szCs w:val="20"/>
        </w:rPr>
        <w:t>effects.</w:t>
      </w:r>
      <w:r w:rsidRPr="000C4A06">
        <w:rPr>
          <w:rFonts w:ascii="Arial" w:hAnsi="Arial" w:cs="Arial"/>
          <w:sz w:val="20"/>
          <w:szCs w:val="20"/>
          <w:vertAlign w:val="superscript"/>
        </w:rPr>
        <w:t>(</w:t>
      </w:r>
      <w:proofErr w:type="gramEnd"/>
      <w:r w:rsidRPr="000C4A06">
        <w:rPr>
          <w:rFonts w:ascii="Arial" w:hAnsi="Arial" w:cs="Arial"/>
          <w:sz w:val="20"/>
          <w:szCs w:val="20"/>
          <w:vertAlign w:val="superscript"/>
        </w:rPr>
        <w:t>2,5)</w:t>
      </w:r>
    </w:p>
    <w:p w14:paraId="474968B9" w14:textId="77777777" w:rsidR="00D440A1" w:rsidRPr="000C4A06" w:rsidRDefault="00D440A1" w:rsidP="00D440A1">
      <w:pPr>
        <w:pStyle w:val="NormalArial"/>
        <w:rPr>
          <w:b/>
          <w:sz w:val="20"/>
          <w:szCs w:val="20"/>
        </w:rPr>
      </w:pPr>
      <w:r w:rsidRPr="000C4A06">
        <w:rPr>
          <w:b/>
          <w:sz w:val="20"/>
          <w:szCs w:val="20"/>
        </w:rPr>
        <w:t>Common or very common</w:t>
      </w:r>
    </w:p>
    <w:p w14:paraId="6643599F" w14:textId="77777777" w:rsidR="00D440A1" w:rsidRPr="000C4A06" w:rsidRDefault="00D440A1" w:rsidP="00D440A1">
      <w:pPr>
        <w:pStyle w:val="NormalArial"/>
        <w:numPr>
          <w:ilvl w:val="0"/>
          <w:numId w:val="21"/>
        </w:numPr>
        <w:rPr>
          <w:sz w:val="20"/>
          <w:szCs w:val="20"/>
        </w:rPr>
      </w:pPr>
      <w:r w:rsidRPr="000C4A06">
        <w:rPr>
          <w:sz w:val="20"/>
          <w:szCs w:val="20"/>
        </w:rPr>
        <w:t>Anaemia</w:t>
      </w:r>
    </w:p>
    <w:p w14:paraId="40D20F7D" w14:textId="77777777" w:rsidR="00D440A1" w:rsidRPr="000C4A06" w:rsidRDefault="00D440A1" w:rsidP="00D440A1">
      <w:pPr>
        <w:pStyle w:val="NormalArial"/>
        <w:numPr>
          <w:ilvl w:val="0"/>
          <w:numId w:val="21"/>
        </w:numPr>
        <w:rPr>
          <w:sz w:val="20"/>
          <w:szCs w:val="20"/>
        </w:rPr>
      </w:pPr>
      <w:r w:rsidRPr="000C4A06">
        <w:rPr>
          <w:sz w:val="20"/>
          <w:szCs w:val="20"/>
        </w:rPr>
        <w:t>Constipation</w:t>
      </w:r>
    </w:p>
    <w:p w14:paraId="55A9095F" w14:textId="77777777" w:rsidR="00D440A1" w:rsidRPr="000C4A06" w:rsidRDefault="00D440A1" w:rsidP="00D440A1">
      <w:pPr>
        <w:pStyle w:val="NormalArial"/>
        <w:numPr>
          <w:ilvl w:val="0"/>
          <w:numId w:val="21"/>
        </w:numPr>
        <w:rPr>
          <w:sz w:val="20"/>
          <w:szCs w:val="20"/>
        </w:rPr>
      </w:pPr>
      <w:r w:rsidRPr="000C4A06">
        <w:rPr>
          <w:sz w:val="20"/>
          <w:szCs w:val="20"/>
        </w:rPr>
        <w:t>Dizziness</w:t>
      </w:r>
    </w:p>
    <w:p w14:paraId="50D96EFB" w14:textId="77777777" w:rsidR="00D440A1" w:rsidRPr="000C4A06" w:rsidRDefault="00D440A1" w:rsidP="00D440A1">
      <w:pPr>
        <w:pStyle w:val="NormalArial"/>
        <w:numPr>
          <w:ilvl w:val="0"/>
          <w:numId w:val="21"/>
        </w:numPr>
        <w:rPr>
          <w:sz w:val="20"/>
          <w:szCs w:val="20"/>
        </w:rPr>
      </w:pPr>
      <w:r w:rsidRPr="000C4A06">
        <w:rPr>
          <w:sz w:val="20"/>
          <w:szCs w:val="20"/>
        </w:rPr>
        <w:t>Fatigue</w:t>
      </w:r>
    </w:p>
    <w:p w14:paraId="40837B7C" w14:textId="77777777" w:rsidR="00D440A1" w:rsidRPr="000C4A06" w:rsidRDefault="00D440A1" w:rsidP="00D440A1">
      <w:pPr>
        <w:pStyle w:val="NormalArial"/>
        <w:numPr>
          <w:ilvl w:val="0"/>
          <w:numId w:val="21"/>
        </w:numPr>
        <w:rPr>
          <w:sz w:val="20"/>
          <w:szCs w:val="20"/>
        </w:rPr>
      </w:pPr>
      <w:r w:rsidRPr="000C4A06">
        <w:rPr>
          <w:sz w:val="20"/>
          <w:szCs w:val="20"/>
        </w:rPr>
        <w:t>Gastrointestinal discomfort</w:t>
      </w:r>
    </w:p>
    <w:p w14:paraId="0F2517E5" w14:textId="77777777" w:rsidR="00D440A1" w:rsidRPr="000C4A06" w:rsidRDefault="00D440A1" w:rsidP="00D440A1">
      <w:pPr>
        <w:pStyle w:val="NormalArial"/>
        <w:numPr>
          <w:ilvl w:val="0"/>
          <w:numId w:val="21"/>
        </w:numPr>
        <w:rPr>
          <w:sz w:val="20"/>
          <w:szCs w:val="20"/>
        </w:rPr>
      </w:pPr>
      <w:r w:rsidRPr="000C4A06">
        <w:rPr>
          <w:sz w:val="20"/>
          <w:szCs w:val="20"/>
        </w:rPr>
        <w:t>Hypertension/hypotension</w:t>
      </w:r>
    </w:p>
    <w:p w14:paraId="1D12697C" w14:textId="77777777" w:rsidR="00D440A1" w:rsidRPr="000C4A06" w:rsidRDefault="00D440A1" w:rsidP="00D440A1">
      <w:pPr>
        <w:pStyle w:val="NormalArial"/>
        <w:numPr>
          <w:ilvl w:val="0"/>
          <w:numId w:val="21"/>
        </w:numPr>
        <w:rPr>
          <w:sz w:val="20"/>
          <w:szCs w:val="20"/>
        </w:rPr>
      </w:pPr>
      <w:r w:rsidRPr="000C4A06">
        <w:rPr>
          <w:sz w:val="20"/>
          <w:szCs w:val="20"/>
        </w:rPr>
        <w:t>Increased risk of infection</w:t>
      </w:r>
    </w:p>
    <w:p w14:paraId="666583D9" w14:textId="77777777" w:rsidR="00D440A1" w:rsidRPr="000C4A06" w:rsidRDefault="00D440A1" w:rsidP="00D440A1">
      <w:pPr>
        <w:pStyle w:val="NormalArial"/>
        <w:numPr>
          <w:ilvl w:val="0"/>
          <w:numId w:val="21"/>
        </w:numPr>
        <w:rPr>
          <w:sz w:val="20"/>
          <w:szCs w:val="20"/>
        </w:rPr>
      </w:pPr>
      <w:r w:rsidRPr="000C4A06">
        <w:rPr>
          <w:sz w:val="20"/>
          <w:szCs w:val="20"/>
        </w:rPr>
        <w:t>Infusion related reaction</w:t>
      </w:r>
    </w:p>
    <w:p w14:paraId="5F8018D0" w14:textId="77777777" w:rsidR="00D440A1" w:rsidRPr="000C4A06" w:rsidRDefault="00D440A1" w:rsidP="00D440A1">
      <w:pPr>
        <w:pStyle w:val="NormalArial"/>
        <w:numPr>
          <w:ilvl w:val="0"/>
          <w:numId w:val="21"/>
        </w:numPr>
        <w:rPr>
          <w:sz w:val="20"/>
          <w:szCs w:val="20"/>
        </w:rPr>
      </w:pPr>
      <w:r w:rsidRPr="000C4A06">
        <w:rPr>
          <w:sz w:val="20"/>
          <w:szCs w:val="20"/>
        </w:rPr>
        <w:t>Skin reactions</w:t>
      </w:r>
    </w:p>
    <w:p w14:paraId="5044BC80" w14:textId="77777777" w:rsidR="00D440A1" w:rsidRPr="000C4A06" w:rsidRDefault="00D440A1" w:rsidP="00D440A1">
      <w:pPr>
        <w:pStyle w:val="NormalArial"/>
        <w:rPr>
          <w:b/>
          <w:sz w:val="20"/>
          <w:szCs w:val="20"/>
        </w:rPr>
      </w:pPr>
      <w:r w:rsidRPr="000C4A06">
        <w:rPr>
          <w:b/>
          <w:sz w:val="20"/>
          <w:szCs w:val="20"/>
        </w:rPr>
        <w:t>Uncommon</w:t>
      </w:r>
    </w:p>
    <w:p w14:paraId="78006BA3" w14:textId="77777777" w:rsidR="00D440A1" w:rsidRPr="000C4A06" w:rsidRDefault="00D440A1" w:rsidP="00D440A1">
      <w:pPr>
        <w:pStyle w:val="NormalArial"/>
        <w:numPr>
          <w:ilvl w:val="0"/>
          <w:numId w:val="20"/>
        </w:numPr>
        <w:rPr>
          <w:sz w:val="20"/>
          <w:szCs w:val="20"/>
        </w:rPr>
      </w:pPr>
      <w:r w:rsidRPr="000C4A06">
        <w:rPr>
          <w:sz w:val="20"/>
          <w:szCs w:val="20"/>
        </w:rPr>
        <w:t>Anxiety</w:t>
      </w:r>
    </w:p>
    <w:p w14:paraId="432E570F" w14:textId="77777777" w:rsidR="00D440A1" w:rsidRPr="000C4A06" w:rsidRDefault="00D440A1" w:rsidP="00D440A1">
      <w:pPr>
        <w:pStyle w:val="NormalArial"/>
        <w:numPr>
          <w:ilvl w:val="0"/>
          <w:numId w:val="20"/>
        </w:numPr>
        <w:rPr>
          <w:sz w:val="20"/>
          <w:szCs w:val="20"/>
        </w:rPr>
      </w:pPr>
      <w:r w:rsidRPr="000C4A06">
        <w:rPr>
          <w:sz w:val="20"/>
          <w:szCs w:val="20"/>
        </w:rPr>
        <w:t>Heart failure</w:t>
      </w:r>
    </w:p>
    <w:p w14:paraId="63CEA440" w14:textId="77777777" w:rsidR="00D440A1" w:rsidRPr="000C4A06" w:rsidRDefault="00D440A1" w:rsidP="00D440A1">
      <w:pPr>
        <w:pStyle w:val="NormalArial"/>
        <w:numPr>
          <w:ilvl w:val="0"/>
          <w:numId w:val="20"/>
        </w:numPr>
        <w:rPr>
          <w:sz w:val="20"/>
          <w:szCs w:val="20"/>
        </w:rPr>
      </w:pPr>
      <w:r w:rsidRPr="000C4A06">
        <w:rPr>
          <w:sz w:val="20"/>
          <w:szCs w:val="20"/>
        </w:rPr>
        <w:t>Seizure</w:t>
      </w:r>
    </w:p>
    <w:p w14:paraId="0980283C" w14:textId="77777777" w:rsidR="00D440A1" w:rsidRPr="000C4A06" w:rsidRDefault="00D440A1" w:rsidP="00D440A1">
      <w:pPr>
        <w:pStyle w:val="NormalArial"/>
        <w:numPr>
          <w:ilvl w:val="0"/>
          <w:numId w:val="20"/>
        </w:numPr>
        <w:rPr>
          <w:sz w:val="20"/>
          <w:szCs w:val="20"/>
        </w:rPr>
      </w:pPr>
      <w:r w:rsidRPr="000C4A06">
        <w:rPr>
          <w:sz w:val="20"/>
          <w:szCs w:val="20"/>
        </w:rPr>
        <w:t>Thrombocytopenia</w:t>
      </w:r>
    </w:p>
    <w:p w14:paraId="14943860" w14:textId="77777777" w:rsidR="00D440A1" w:rsidRPr="000C4A06" w:rsidRDefault="00D440A1" w:rsidP="00D440A1">
      <w:pPr>
        <w:pStyle w:val="NormalArial"/>
        <w:rPr>
          <w:b/>
          <w:sz w:val="20"/>
          <w:szCs w:val="20"/>
        </w:rPr>
      </w:pPr>
      <w:r w:rsidRPr="000C4A06">
        <w:rPr>
          <w:b/>
          <w:sz w:val="20"/>
          <w:szCs w:val="20"/>
        </w:rPr>
        <w:t>Rare or very rare</w:t>
      </w:r>
    </w:p>
    <w:p w14:paraId="154385A8" w14:textId="77777777" w:rsidR="00D440A1" w:rsidRPr="000C4A06" w:rsidRDefault="00D440A1" w:rsidP="00D440A1">
      <w:pPr>
        <w:pStyle w:val="NormalArial"/>
        <w:numPr>
          <w:ilvl w:val="0"/>
          <w:numId w:val="19"/>
        </w:numPr>
        <w:rPr>
          <w:sz w:val="20"/>
          <w:szCs w:val="20"/>
        </w:rPr>
      </w:pPr>
      <w:r w:rsidRPr="000C4A06">
        <w:rPr>
          <w:sz w:val="20"/>
          <w:szCs w:val="20"/>
        </w:rPr>
        <w:t>Cyanosis</w:t>
      </w:r>
    </w:p>
    <w:p w14:paraId="5A6B3C25" w14:textId="77777777" w:rsidR="00D440A1" w:rsidRPr="000C4A06" w:rsidRDefault="00D440A1" w:rsidP="00D440A1">
      <w:pPr>
        <w:pStyle w:val="NormalArial"/>
        <w:numPr>
          <w:ilvl w:val="0"/>
          <w:numId w:val="19"/>
        </w:numPr>
        <w:rPr>
          <w:sz w:val="20"/>
          <w:szCs w:val="20"/>
        </w:rPr>
      </w:pPr>
      <w:r w:rsidRPr="000C4A06">
        <w:rPr>
          <w:sz w:val="20"/>
          <w:szCs w:val="20"/>
        </w:rPr>
        <w:t>Demyelinating disorders</w:t>
      </w:r>
    </w:p>
    <w:p w14:paraId="5EEF4788" w14:textId="77777777" w:rsidR="00D440A1" w:rsidRPr="000C4A06" w:rsidRDefault="00D440A1" w:rsidP="00D440A1">
      <w:pPr>
        <w:pStyle w:val="NormalArial"/>
        <w:numPr>
          <w:ilvl w:val="0"/>
          <w:numId w:val="19"/>
        </w:numPr>
        <w:rPr>
          <w:sz w:val="20"/>
          <w:szCs w:val="20"/>
        </w:rPr>
      </w:pPr>
      <w:r w:rsidRPr="000C4A06">
        <w:rPr>
          <w:sz w:val="20"/>
          <w:szCs w:val="20"/>
        </w:rPr>
        <w:t>Pancytopenia</w:t>
      </w:r>
    </w:p>
    <w:p w14:paraId="1C98226C" w14:textId="77777777" w:rsidR="00D440A1" w:rsidRPr="000C4A06" w:rsidRDefault="00D440A1" w:rsidP="00D440A1">
      <w:pPr>
        <w:pStyle w:val="NormalArial"/>
        <w:rPr>
          <w:b/>
          <w:sz w:val="20"/>
          <w:szCs w:val="20"/>
        </w:rPr>
      </w:pPr>
      <w:r w:rsidRPr="000C4A06">
        <w:rPr>
          <w:b/>
          <w:sz w:val="20"/>
          <w:szCs w:val="20"/>
        </w:rPr>
        <w:t>Frequency not known</w:t>
      </w:r>
    </w:p>
    <w:p w14:paraId="136D3FEF" w14:textId="77777777" w:rsidR="00D00143" w:rsidRPr="000C4A06" w:rsidRDefault="00D440A1" w:rsidP="00D440A1">
      <w:pPr>
        <w:pStyle w:val="NormalArial"/>
        <w:numPr>
          <w:ilvl w:val="0"/>
          <w:numId w:val="18"/>
        </w:numPr>
        <w:rPr>
          <w:sz w:val="20"/>
          <w:szCs w:val="20"/>
        </w:rPr>
      </w:pPr>
      <w:r w:rsidRPr="000C4A06">
        <w:rPr>
          <w:sz w:val="20"/>
          <w:szCs w:val="20"/>
        </w:rPr>
        <w:t>Bone fracture</w:t>
      </w:r>
    </w:p>
    <w:p w14:paraId="613A7E3A" w14:textId="77777777" w:rsidR="00D00143" w:rsidRPr="000C4A06" w:rsidRDefault="00D00143" w:rsidP="00D00143">
      <w:pPr>
        <w:spacing w:after="0"/>
        <w:ind w:left="360"/>
        <w:rPr>
          <w:rFonts w:ascii="Arial" w:hAnsi="Arial" w:cs="Arial"/>
          <w:sz w:val="20"/>
          <w:szCs w:val="20"/>
        </w:rPr>
      </w:pPr>
    </w:p>
    <w:p w14:paraId="1C095F13" w14:textId="77777777" w:rsidR="00D00143" w:rsidRPr="000C4A06" w:rsidRDefault="00D00143" w:rsidP="00D00143">
      <w:pPr>
        <w:pStyle w:val="BodyText2"/>
        <w:rPr>
          <w:sz w:val="20"/>
          <w:szCs w:val="20"/>
        </w:rPr>
      </w:pPr>
      <w:r w:rsidRPr="000C4A06">
        <w:rPr>
          <w:sz w:val="20"/>
          <w:szCs w:val="20"/>
        </w:rPr>
        <w:t xml:space="preserve">References: </w:t>
      </w:r>
    </w:p>
    <w:p w14:paraId="2E9113E0" w14:textId="77777777" w:rsidR="00F16BAA" w:rsidRPr="00091B2D" w:rsidRDefault="00D00143" w:rsidP="00F16BAA">
      <w:pPr>
        <w:pStyle w:val="ListParagraph"/>
        <w:numPr>
          <w:ilvl w:val="0"/>
          <w:numId w:val="23"/>
        </w:numPr>
        <w:spacing w:after="200"/>
        <w:rPr>
          <w:rFonts w:asciiTheme="minorHAnsi" w:hAnsiTheme="minorHAnsi" w:cs="Arial"/>
          <w:lang w:eastAsia="en-GB"/>
        </w:rPr>
      </w:pPr>
      <w:r w:rsidRPr="000C4A06">
        <w:rPr>
          <w:rFonts w:ascii="Arial" w:hAnsi="Arial" w:cs="Arial"/>
          <w:sz w:val="20"/>
          <w:szCs w:val="20"/>
        </w:rPr>
        <w:t xml:space="preserve">1. </w:t>
      </w:r>
      <w:r w:rsidR="00F16BAA" w:rsidRPr="00091B2D">
        <w:rPr>
          <w:rFonts w:asciiTheme="minorHAnsi" w:hAnsiTheme="minorHAnsi" w:cs="Arial"/>
          <w:shd w:val="clear" w:color="auto" w:fill="FFFFFF"/>
        </w:rPr>
        <w:t xml:space="preserve">Joint Formulary Committee. </w:t>
      </w:r>
      <w:r w:rsidR="00F16BAA" w:rsidRPr="00091B2D">
        <w:rPr>
          <w:rStyle w:val="Emphasis"/>
          <w:rFonts w:asciiTheme="minorHAnsi" w:hAnsiTheme="minorHAnsi" w:cs="Arial"/>
          <w:shd w:val="clear" w:color="auto" w:fill="FFFFFF"/>
        </w:rPr>
        <w:t>British National Formulary</w:t>
      </w:r>
      <w:r w:rsidR="00F16BAA" w:rsidRPr="00091B2D">
        <w:rPr>
          <w:rFonts w:asciiTheme="minorHAnsi" w:hAnsiTheme="minorHAnsi" w:cs="Arial"/>
          <w:shd w:val="clear" w:color="auto" w:fill="FFFFFF"/>
        </w:rPr>
        <w:t xml:space="preserve"> (Online) London: BMJ Group and Pharmaceutical Press. Available at [http://www.medicinescomplete.com]. Accessed 10/12/19.</w:t>
      </w:r>
    </w:p>
    <w:p w14:paraId="6B389499" w14:textId="72E8817C" w:rsidR="00F16BAA" w:rsidRDefault="00F16BAA" w:rsidP="0CAE91A8">
      <w:pPr>
        <w:pStyle w:val="ListParagraph"/>
        <w:numPr>
          <w:ilvl w:val="0"/>
          <w:numId w:val="23"/>
        </w:numPr>
        <w:spacing w:after="200"/>
        <w:rPr>
          <w:rFonts w:asciiTheme="minorHAnsi" w:hAnsiTheme="minorHAnsi" w:cs="Arial"/>
          <w:lang w:eastAsia="en-GB"/>
        </w:rPr>
      </w:pPr>
      <w:r w:rsidRPr="0CAE91A8">
        <w:rPr>
          <w:rFonts w:asciiTheme="minorHAnsi" w:hAnsiTheme="minorHAnsi" w:cs="Arial"/>
          <w:lang w:eastAsia="en-GB"/>
        </w:rPr>
        <w:t>Medusa IV Monographs (2019). Infliximab. Available at [</w:t>
      </w:r>
      <w:hyperlink r:id="rId12">
        <w:r w:rsidRPr="0CAE91A8">
          <w:rPr>
            <w:rStyle w:val="Hyperlink"/>
            <w:rFonts w:asciiTheme="minorHAnsi" w:hAnsiTheme="minorHAnsi" w:cs="Arial"/>
          </w:rPr>
          <w:t>https://medusa.wales.nhs.uk/</w:t>
        </w:r>
      </w:hyperlink>
      <w:r w:rsidRPr="0CAE91A8">
        <w:rPr>
          <w:rFonts w:asciiTheme="minorHAnsi" w:hAnsiTheme="minorHAnsi" w:cs="Arial"/>
        </w:rPr>
        <w:t>]. Accessed 10/12/19.</w:t>
      </w:r>
    </w:p>
    <w:p w14:paraId="044AA83A" w14:textId="5454A618" w:rsidR="13920DF1" w:rsidRDefault="13920DF1" w:rsidP="0CAE91A8">
      <w:pPr>
        <w:pStyle w:val="ListParagraph"/>
        <w:numPr>
          <w:ilvl w:val="0"/>
          <w:numId w:val="23"/>
        </w:numPr>
      </w:pPr>
      <w:r w:rsidRPr="0CAE91A8">
        <w:t xml:space="preserve">Angeles‐Han, Lo, M. S., Henderson, L. A., </w:t>
      </w:r>
      <w:proofErr w:type="spellStart"/>
      <w:r w:rsidRPr="0CAE91A8">
        <w:t>Lerman</w:t>
      </w:r>
      <w:proofErr w:type="spellEnd"/>
      <w:r w:rsidRPr="0CAE91A8">
        <w:t xml:space="preserve">, M. A., Abramson, L., Cooper, A., </w:t>
      </w:r>
      <w:proofErr w:type="spellStart"/>
      <w:r w:rsidRPr="0CAE91A8">
        <w:t>Parsa</w:t>
      </w:r>
      <w:proofErr w:type="spellEnd"/>
      <w:r w:rsidRPr="0CAE91A8">
        <w:t xml:space="preserve">, M. F., </w:t>
      </w:r>
      <w:proofErr w:type="spellStart"/>
      <w:r w:rsidRPr="0CAE91A8">
        <w:t>Zemel</w:t>
      </w:r>
      <w:proofErr w:type="spellEnd"/>
      <w:r w:rsidRPr="0CAE91A8">
        <w:t xml:space="preserve">, L. S., </w:t>
      </w:r>
      <w:proofErr w:type="spellStart"/>
      <w:r w:rsidRPr="0CAE91A8">
        <w:t>Ronis</w:t>
      </w:r>
      <w:proofErr w:type="spellEnd"/>
      <w:r w:rsidRPr="0CAE91A8">
        <w:t xml:space="preserve">, T., </w:t>
      </w:r>
      <w:proofErr w:type="spellStart"/>
      <w:r w:rsidRPr="0CAE91A8">
        <w:t>Beukelman</w:t>
      </w:r>
      <w:proofErr w:type="spellEnd"/>
      <w:r w:rsidRPr="0CAE91A8">
        <w:t xml:space="preserve">, T., Cox, E., Sen, H.  </w:t>
      </w:r>
      <w:proofErr w:type="spellStart"/>
      <w:r w:rsidRPr="0CAE91A8">
        <w:t>Nid</w:t>
      </w:r>
      <w:proofErr w:type="spellEnd"/>
      <w:r w:rsidRPr="0CAE91A8">
        <w:t xml:space="preserve">., Holland, G. N., Brunner, H. I., Lasky, A., &amp; </w:t>
      </w:r>
      <w:proofErr w:type="spellStart"/>
      <w:r w:rsidRPr="0CAE91A8">
        <w:t>Rabinovich</w:t>
      </w:r>
      <w:proofErr w:type="spellEnd"/>
      <w:r w:rsidRPr="0CAE91A8">
        <w:t xml:space="preserve">, C. E. (2019). Childhood Arthritis and Rheumatology Research Alliance Consensus Treatment Plans for Juvenile Idiopathic Arthritis–Associated and Idiopathic Chronic Anterior Uveitis. Arthritis Care &amp; Research, 71(4), 482–491. </w:t>
      </w:r>
      <w:hyperlink r:id="rId13">
        <w:r w:rsidRPr="0CAE91A8">
          <w:rPr>
            <w:rStyle w:val="Hyperlink"/>
          </w:rPr>
          <w:t>https://doi.org/10.1002/acr.23610</w:t>
        </w:r>
      </w:hyperlink>
    </w:p>
    <w:p w14:paraId="2D8BA7F7" w14:textId="578DA175" w:rsidR="0CAE91A8" w:rsidRDefault="0CAE91A8" w:rsidP="0CAE91A8">
      <w:pPr>
        <w:pStyle w:val="ListParagraph"/>
        <w:numPr>
          <w:ilvl w:val="0"/>
          <w:numId w:val="23"/>
        </w:numPr>
        <w:spacing w:after="200"/>
        <w:rPr>
          <w:lang w:eastAsia="en-GB"/>
        </w:rPr>
      </w:pPr>
    </w:p>
    <w:p w14:paraId="34F40E7A" w14:textId="77777777" w:rsidR="006F199D" w:rsidRPr="000C4A06" w:rsidRDefault="006F199D" w:rsidP="00F16BAA">
      <w:pPr>
        <w:spacing w:after="0"/>
        <w:rPr>
          <w:rFonts w:ascii="Arial" w:hAnsi="Arial" w:cs="Arial"/>
          <w:sz w:val="20"/>
          <w:szCs w:val="20"/>
        </w:rPr>
      </w:pPr>
    </w:p>
    <w:p w14:paraId="11DC1CAA" w14:textId="77777777" w:rsidR="00D00143" w:rsidRPr="000C4A06" w:rsidRDefault="00D00143" w:rsidP="00D00143">
      <w:pPr>
        <w:spacing w:after="0"/>
        <w:rPr>
          <w:rFonts w:ascii="Arial" w:hAnsi="Arial" w:cs="Arial"/>
          <w:sz w:val="20"/>
          <w:szCs w:val="20"/>
        </w:rPr>
      </w:pPr>
    </w:p>
    <w:p w14:paraId="44445E07" w14:textId="0565F65D" w:rsidR="00D00143" w:rsidRDefault="00D00143" w:rsidP="00D00143">
      <w:pPr>
        <w:spacing w:after="0"/>
        <w:rPr>
          <w:rFonts w:ascii="Arial" w:hAnsi="Arial" w:cs="Arial"/>
          <w:b/>
          <w:sz w:val="20"/>
          <w:szCs w:val="20"/>
          <w:u w:val="single"/>
        </w:rPr>
      </w:pPr>
      <w:r w:rsidRPr="000C4A06">
        <w:rPr>
          <w:rFonts w:ascii="Arial" w:hAnsi="Arial" w:cs="Arial"/>
          <w:b/>
          <w:sz w:val="20"/>
          <w:szCs w:val="20"/>
          <w:u w:val="single"/>
        </w:rPr>
        <w:t>Authors:</w:t>
      </w:r>
    </w:p>
    <w:p w14:paraId="33A8F041" w14:textId="66391458" w:rsidR="00672584" w:rsidRPr="00672584" w:rsidRDefault="00672584" w:rsidP="00D00143">
      <w:pPr>
        <w:spacing w:after="0"/>
        <w:rPr>
          <w:rFonts w:ascii="Arial" w:hAnsi="Arial" w:cs="Arial"/>
          <w:bCs/>
          <w:sz w:val="20"/>
          <w:szCs w:val="20"/>
        </w:rPr>
      </w:pPr>
      <w:r w:rsidRPr="00672584">
        <w:rPr>
          <w:rFonts w:ascii="Arial" w:hAnsi="Arial" w:cs="Arial"/>
          <w:bCs/>
          <w:sz w:val="20"/>
          <w:szCs w:val="20"/>
        </w:rPr>
        <w:t>Ewan Swann</w:t>
      </w:r>
      <w:r>
        <w:rPr>
          <w:rFonts w:ascii="Arial" w:hAnsi="Arial" w:cs="Arial"/>
          <w:bCs/>
          <w:sz w:val="20"/>
          <w:szCs w:val="20"/>
        </w:rPr>
        <w:t>, pharmacist NHS Lothian</w:t>
      </w:r>
    </w:p>
    <w:p w14:paraId="0DD81C32" w14:textId="77777777" w:rsidR="000C4A06" w:rsidRPr="00672584" w:rsidRDefault="000C4A06" w:rsidP="00F53303">
      <w:pPr>
        <w:rPr>
          <w:rFonts w:ascii="Arial" w:hAnsi="Arial" w:cs="Arial"/>
          <w:bCs/>
          <w:sz w:val="20"/>
          <w:szCs w:val="20"/>
        </w:rPr>
      </w:pPr>
    </w:p>
    <w:p w14:paraId="36BE61FD" w14:textId="77777777" w:rsidR="000C4A06" w:rsidRDefault="000C4A06" w:rsidP="008D78BB">
      <w:pPr>
        <w:spacing w:after="0"/>
        <w:rPr>
          <w:rFonts w:ascii="Arial" w:hAnsi="Arial" w:cs="Arial"/>
          <w:i/>
          <w:sz w:val="20"/>
          <w:szCs w:val="20"/>
        </w:rPr>
      </w:pPr>
    </w:p>
    <w:p w14:paraId="40C1E6C0" w14:textId="77777777" w:rsidR="000C4A06" w:rsidRDefault="000C4A06" w:rsidP="008D78BB">
      <w:pPr>
        <w:spacing w:after="0"/>
        <w:rPr>
          <w:rFonts w:ascii="Arial" w:hAnsi="Arial" w:cs="Arial"/>
          <w:i/>
          <w:sz w:val="20"/>
          <w:szCs w:val="20"/>
        </w:rPr>
      </w:pPr>
    </w:p>
    <w:p w14:paraId="69BE244C" w14:textId="77777777" w:rsidR="008D78BB" w:rsidRPr="000C4A06" w:rsidRDefault="008D78BB" w:rsidP="008D78BB">
      <w:pPr>
        <w:spacing w:after="0"/>
        <w:rPr>
          <w:rFonts w:ascii="Arial" w:hAnsi="Arial" w:cs="Arial"/>
          <w:i/>
          <w:sz w:val="20"/>
          <w:szCs w:val="20"/>
        </w:rPr>
      </w:pPr>
      <w:r w:rsidRPr="000C4A06">
        <w:rPr>
          <w:rFonts w:ascii="Arial" w:hAnsi="Arial" w:cs="Arial"/>
          <w:i/>
          <w:sz w:val="20"/>
          <w:szCs w:val="20"/>
        </w:rPr>
        <w:t>NOTE</w:t>
      </w:r>
    </w:p>
    <w:p w14:paraId="3E835B90" w14:textId="77777777" w:rsidR="00EE4195" w:rsidRPr="000C4A06" w:rsidRDefault="008D78BB" w:rsidP="008D78BB">
      <w:pPr>
        <w:spacing w:after="0"/>
        <w:rPr>
          <w:rFonts w:ascii="Arial" w:hAnsi="Arial" w:cs="Arial"/>
          <w:sz w:val="20"/>
          <w:szCs w:val="20"/>
        </w:rPr>
      </w:pPr>
      <w:r w:rsidRPr="000C4A06">
        <w:rPr>
          <w:rFonts w:ascii="Arial" w:hAnsi="Arial" w:cs="Arial"/>
          <w:i/>
          <w:color w:val="000000"/>
          <w:sz w:val="20"/>
          <w:szCs w:val="20"/>
        </w:rPr>
        <w:t xml:space="preserve">This guideline is not intended to be construed or to serve as a standard of care. Standards of care are determined </w:t>
      </w:r>
      <w:proofErr w:type="gramStart"/>
      <w:r w:rsidRPr="000C4A06">
        <w:rPr>
          <w:rFonts w:ascii="Arial" w:hAnsi="Arial" w:cs="Arial"/>
          <w:i/>
          <w:color w:val="000000"/>
          <w:sz w:val="20"/>
          <w:szCs w:val="20"/>
        </w:rPr>
        <w:t>on the basis of</w:t>
      </w:r>
      <w:proofErr w:type="gramEnd"/>
      <w:r w:rsidRPr="000C4A06">
        <w:rPr>
          <w:rFonts w:ascii="Arial" w:hAnsi="Arial" w:cs="Arial"/>
          <w:i/>
          <w:color w:val="000000"/>
          <w:sz w:val="20"/>
          <w:szCs w:val="20"/>
        </w:rPr>
        <w:t xml:space="preserve"> all clinical data available for an individual case and are subject to change as scientific knowledge and technology advance and patterns of care evolve. Adherence to guideline </w:t>
      </w:r>
      <w:r w:rsidRPr="000C4A06">
        <w:rPr>
          <w:rFonts w:ascii="Arial" w:hAnsi="Arial" w:cs="Arial"/>
          <w:i/>
          <w:color w:val="000000"/>
          <w:sz w:val="20"/>
          <w:szCs w:val="20"/>
        </w:rPr>
        <w:lastRenderedPageBreak/>
        <w:t>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sectPr w:rsidR="00EE4195" w:rsidRPr="000C4A06" w:rsidSect="00EE419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0C63" w14:textId="77777777" w:rsidR="002A44B4" w:rsidRDefault="002A44B4" w:rsidP="00B61AD9">
      <w:pPr>
        <w:spacing w:after="0" w:line="240" w:lineRule="auto"/>
      </w:pPr>
      <w:r>
        <w:separator/>
      </w:r>
    </w:p>
  </w:endnote>
  <w:endnote w:type="continuationSeparator" w:id="0">
    <w:p w14:paraId="56423B59" w14:textId="77777777" w:rsidR="002A44B4" w:rsidRDefault="002A44B4"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8F2" w14:textId="77777777" w:rsidR="000C4A06" w:rsidRDefault="000C4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360"/>
      <w:docPartObj>
        <w:docPartGallery w:val="Page Numbers (Bottom of Page)"/>
        <w:docPartUnique/>
      </w:docPartObj>
    </w:sdtPr>
    <w:sdtEndPr/>
    <w:sdtContent>
      <w:sdt>
        <w:sdtPr>
          <w:id w:val="565050477"/>
          <w:docPartObj>
            <w:docPartGallery w:val="Page Numbers (Top of Page)"/>
            <w:docPartUnique/>
          </w:docPartObj>
        </w:sdtPr>
        <w:sdtEndPr/>
        <w:sdtContent>
          <w:p w14:paraId="12E52087" w14:textId="7F4594B4" w:rsidR="000C4A06" w:rsidRPr="00CC3F4B" w:rsidRDefault="000C4A06" w:rsidP="00AA0C8F">
            <w:pPr>
              <w:pStyle w:val="Footer"/>
              <w:rPr>
                <w:rFonts w:ascii="Arial" w:hAnsi="Arial" w:cs="Arial"/>
                <w:b/>
                <w:bCs/>
                <w:sz w:val="18"/>
              </w:rPr>
            </w:pPr>
            <w:r w:rsidRPr="00CC3F4B">
              <w:rPr>
                <w:rFonts w:ascii="Arial" w:hAnsi="Arial" w:cs="Arial"/>
                <w:b/>
                <w:bCs/>
                <w:noProof/>
                <w:sz w:val="18"/>
                <w:lang w:eastAsia="en-GB"/>
              </w:rPr>
              <w:drawing>
                <wp:anchor distT="0" distB="0" distL="114300" distR="114300" simplePos="0" relativeHeight="251657215" behindDoc="1" locked="0" layoutInCell="1" allowOverlap="1" wp14:anchorId="693D0206" wp14:editId="648394D7">
                  <wp:simplePos x="0" y="0"/>
                  <wp:positionH relativeFrom="margin">
                    <wp:posOffset>1313180</wp:posOffset>
                  </wp:positionH>
                  <wp:positionV relativeFrom="margin">
                    <wp:posOffset>8549640</wp:posOffset>
                  </wp:positionV>
                  <wp:extent cx="5342890" cy="1221105"/>
                  <wp:effectExtent l="19050" t="0" r="0" b="0"/>
                  <wp:wrapSquare wrapText="bothSides"/>
                  <wp:docPr id="2" name="Picture 1" descr="C:\Users\paolil01\Desktop\Email Template  Shared Services\caring hand-03.jpg"/>
                  <wp:cNvGraphicFramePr/>
                  <a:graphic xmlns:a="http://schemas.openxmlformats.org/drawingml/2006/main">
                    <a:graphicData uri="http://schemas.openxmlformats.org/drawingml/2006/picture">
                      <pic:pic xmlns:pic="http://schemas.openxmlformats.org/drawingml/2006/picture">
                        <pic:nvPicPr>
                          <pic:cNvPr id="3" name="Picture 3" descr="C:\Users\paolil01\Desktop\Email Template  Shared Services\caring hand-03.jpg"/>
                          <pic:cNvPicPr>
                            <a:picLocks noChangeAspect="1" noChangeArrowheads="1"/>
                          </pic:cNvPicPr>
                        </pic:nvPicPr>
                        <pic:blipFill>
                          <a:blip r:embed="rId1" cstate="print"/>
                          <a:srcRect t="24536" r="10818" b="22063"/>
                          <a:stretch>
                            <a:fillRect/>
                          </a:stretch>
                        </pic:blipFill>
                        <pic:spPr bwMode="auto">
                          <a:xfrm>
                            <a:off x="0" y="0"/>
                            <a:ext cx="5342890" cy="1221105"/>
                          </a:xfrm>
                          <a:prstGeom prst="rect">
                            <a:avLst/>
                          </a:prstGeom>
                          <a:noFill/>
                        </pic:spPr>
                      </pic:pic>
                    </a:graphicData>
                  </a:graphic>
                </wp:anchor>
              </w:drawing>
            </w:r>
            <w:r w:rsidRPr="00CC3F4B">
              <w:rPr>
                <w:rFonts w:ascii="Arial" w:hAnsi="Arial" w:cs="Arial"/>
                <w:b/>
                <w:bCs/>
                <w:sz w:val="18"/>
              </w:rPr>
              <w:t xml:space="preserve">Approved </w:t>
            </w:r>
            <w:r w:rsidR="00CC3F4B" w:rsidRPr="00CC3F4B">
              <w:rPr>
                <w:rFonts w:ascii="Arial" w:hAnsi="Arial" w:cs="Arial"/>
                <w:b/>
                <w:bCs/>
                <w:sz w:val="18"/>
              </w:rPr>
              <w:t>June 2023</w:t>
            </w:r>
          </w:p>
          <w:p w14:paraId="7B1D9D93" w14:textId="3D260C43" w:rsidR="000C4A06" w:rsidRPr="00CC3F4B" w:rsidRDefault="00CC3F4B" w:rsidP="00AA0C8F">
            <w:pPr>
              <w:pStyle w:val="Footer"/>
              <w:rPr>
                <w:rFonts w:ascii="Arial" w:hAnsi="Arial" w:cs="Arial"/>
                <w:b/>
                <w:bCs/>
                <w:sz w:val="18"/>
              </w:rPr>
            </w:pPr>
            <w:r w:rsidRPr="00CC3F4B">
              <w:rPr>
                <w:rFonts w:ascii="Arial" w:hAnsi="Arial" w:cs="Arial"/>
                <w:b/>
                <w:bCs/>
                <w:sz w:val="18"/>
              </w:rPr>
              <w:t>Review June 2026</w:t>
            </w:r>
          </w:p>
          <w:p w14:paraId="3A331BFF" w14:textId="77777777" w:rsidR="000C4A06" w:rsidRDefault="000C4A06" w:rsidP="00516AA5">
            <w:pPr>
              <w:pStyle w:val="Footer"/>
            </w:pPr>
            <w:r w:rsidRPr="00516AA5">
              <w:rPr>
                <w:rFonts w:ascii="Arial" w:hAnsi="Arial" w:cs="Arial"/>
                <w:color w:val="004785"/>
                <w:sz w:val="16"/>
                <w:szCs w:val="16"/>
              </w:rPr>
              <w:t>NSD610-013.04 V1</w:t>
            </w:r>
            <w:r w:rsidRPr="00634E88">
              <w:rPr>
                <w:rFonts w:ascii="Arial" w:hAnsi="Arial" w:cs="Arial"/>
                <w:color w:val="FFFFFF" w:themeColor="background1"/>
              </w:rPr>
              <w:t xml:space="preserve">Page </w:t>
            </w:r>
            <w:r w:rsidRPr="00634E88">
              <w:rPr>
                <w:rFonts w:ascii="Arial" w:hAnsi="Arial" w:cs="Arial"/>
                <w:b/>
                <w:color w:val="FFFFFF" w:themeColor="background1"/>
                <w:sz w:val="24"/>
                <w:szCs w:val="24"/>
              </w:rPr>
              <w:fldChar w:fldCharType="begin"/>
            </w:r>
            <w:r w:rsidRPr="00634E88">
              <w:rPr>
                <w:rFonts w:ascii="Arial" w:hAnsi="Arial" w:cs="Arial"/>
                <w:b/>
                <w:color w:val="FFFFFF" w:themeColor="background1"/>
              </w:rPr>
              <w:instrText xml:space="preserve"> PAGE </w:instrText>
            </w:r>
            <w:r w:rsidRPr="00634E88">
              <w:rPr>
                <w:rFonts w:ascii="Arial" w:hAnsi="Arial" w:cs="Arial"/>
                <w:b/>
                <w:color w:val="FFFFFF" w:themeColor="background1"/>
                <w:sz w:val="24"/>
                <w:szCs w:val="24"/>
              </w:rPr>
              <w:fldChar w:fldCharType="separate"/>
            </w:r>
            <w:r w:rsidR="00F16BAA">
              <w:rPr>
                <w:rFonts w:ascii="Arial" w:hAnsi="Arial" w:cs="Arial"/>
                <w:b/>
                <w:noProof/>
                <w:color w:val="FFFFFF" w:themeColor="background1"/>
              </w:rPr>
              <w:t>2</w:t>
            </w:r>
            <w:r w:rsidRPr="00634E88">
              <w:rPr>
                <w:rFonts w:ascii="Arial" w:hAnsi="Arial" w:cs="Arial"/>
                <w:b/>
                <w:color w:val="FFFFFF" w:themeColor="background1"/>
                <w:sz w:val="24"/>
                <w:szCs w:val="24"/>
              </w:rPr>
              <w:fldChar w:fldCharType="end"/>
            </w:r>
            <w:r w:rsidRPr="00634E88">
              <w:rPr>
                <w:rFonts w:ascii="Arial" w:hAnsi="Arial" w:cs="Arial"/>
                <w:color w:val="FFFFFF" w:themeColor="background1"/>
              </w:rPr>
              <w:t xml:space="preserve"> of </w:t>
            </w:r>
            <w:r w:rsidRPr="00634E88">
              <w:rPr>
                <w:rFonts w:ascii="Arial" w:hAnsi="Arial" w:cs="Arial"/>
                <w:b/>
                <w:color w:val="FFFFFF" w:themeColor="background1"/>
                <w:sz w:val="24"/>
                <w:szCs w:val="24"/>
              </w:rPr>
              <w:fldChar w:fldCharType="begin"/>
            </w:r>
            <w:r w:rsidRPr="00634E88">
              <w:rPr>
                <w:rFonts w:ascii="Arial" w:hAnsi="Arial" w:cs="Arial"/>
                <w:b/>
                <w:color w:val="FFFFFF" w:themeColor="background1"/>
              </w:rPr>
              <w:instrText xml:space="preserve"> NUMPAGES  </w:instrText>
            </w:r>
            <w:r w:rsidRPr="00634E88">
              <w:rPr>
                <w:rFonts w:ascii="Arial" w:hAnsi="Arial" w:cs="Arial"/>
                <w:b/>
                <w:color w:val="FFFFFF" w:themeColor="background1"/>
                <w:sz w:val="24"/>
                <w:szCs w:val="24"/>
              </w:rPr>
              <w:fldChar w:fldCharType="separate"/>
            </w:r>
            <w:r w:rsidR="00F16BAA">
              <w:rPr>
                <w:rFonts w:ascii="Arial" w:hAnsi="Arial" w:cs="Arial"/>
                <w:b/>
                <w:noProof/>
                <w:color w:val="FFFFFF" w:themeColor="background1"/>
              </w:rPr>
              <w:t>4</w:t>
            </w:r>
            <w:r w:rsidRPr="00634E88">
              <w:rPr>
                <w:rFonts w:ascii="Arial" w:hAnsi="Arial" w:cs="Arial"/>
                <w:b/>
                <w:color w:val="FFFFFF" w:themeColor="background1"/>
                <w:sz w:val="24"/>
                <w:szCs w:val="24"/>
              </w:rPr>
              <w:fldChar w:fldCharType="end"/>
            </w:r>
          </w:p>
        </w:sdtContent>
      </w:sdt>
    </w:sdtContent>
  </w:sdt>
  <w:p w14:paraId="55C5C866" w14:textId="77777777" w:rsidR="000C4A06" w:rsidRPr="008D78BB" w:rsidRDefault="000C4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B9A6" w14:textId="77777777" w:rsidR="000C4A06" w:rsidRDefault="000C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1D65" w14:textId="77777777" w:rsidR="002A44B4" w:rsidRDefault="002A44B4" w:rsidP="00B61AD9">
      <w:pPr>
        <w:spacing w:after="0" w:line="240" w:lineRule="auto"/>
      </w:pPr>
      <w:r>
        <w:separator/>
      </w:r>
    </w:p>
  </w:footnote>
  <w:footnote w:type="continuationSeparator" w:id="0">
    <w:p w14:paraId="2B235BF0" w14:textId="77777777" w:rsidR="002A44B4" w:rsidRDefault="002A44B4"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CBD5" w14:textId="77777777" w:rsidR="000C4A06" w:rsidRDefault="000C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0F1E" w14:textId="77777777" w:rsidR="000C4A06" w:rsidRDefault="000C4A06">
    <w:pPr>
      <w:pStyle w:val="Header"/>
    </w:pPr>
    <w:r w:rsidRPr="00AA0C8F">
      <w:rPr>
        <w:noProof/>
        <w:lang w:eastAsia="en-GB"/>
      </w:rPr>
      <w:drawing>
        <wp:anchor distT="0" distB="0" distL="114300" distR="114300" simplePos="0" relativeHeight="251659264" behindDoc="0" locked="0" layoutInCell="1" allowOverlap="1" wp14:anchorId="6B461C18" wp14:editId="7BB0C66B">
          <wp:simplePos x="0" y="0"/>
          <wp:positionH relativeFrom="margin">
            <wp:posOffset>-930910</wp:posOffset>
          </wp:positionH>
          <wp:positionV relativeFrom="margin">
            <wp:posOffset>-925830</wp:posOffset>
          </wp:positionV>
          <wp:extent cx="5716270" cy="593725"/>
          <wp:effectExtent l="19050" t="0" r="0" b="0"/>
          <wp:wrapSquare wrapText="bothSides"/>
          <wp:docPr id="4" name="Picture 3" descr="C:\Users\paolil01\Desktop\Email Template  Shared Services\caring hand-03.jpg"/>
          <wp:cNvGraphicFramePr/>
          <a:graphic xmlns:a="http://schemas.openxmlformats.org/drawingml/2006/main">
            <a:graphicData uri="http://schemas.openxmlformats.org/drawingml/2006/picture">
              <pic:pic xmlns:pic="http://schemas.openxmlformats.org/drawingml/2006/picture">
                <pic:nvPicPr>
                  <pic:cNvPr id="2051" name="Picture 3" descr="C:\Users\paolil01\Desktop\Email Template  Shared Services\caring hand-03.jpg"/>
                  <pic:cNvPicPr>
                    <a:picLocks noChangeAspect="1" noChangeArrowheads="1"/>
                  </pic:cNvPicPr>
                </pic:nvPicPr>
                <pic:blipFill>
                  <a:blip r:embed="rId1" cstate="print"/>
                  <a:srcRect l="15193" t="54132" r="198" b="26590"/>
                  <a:stretch>
                    <a:fillRect/>
                  </a:stretch>
                </pic:blipFill>
                <pic:spPr bwMode="auto">
                  <a:xfrm>
                    <a:off x="0" y="0"/>
                    <a:ext cx="5716270" cy="593725"/>
                  </a:xfrm>
                  <a:prstGeom prst="rect">
                    <a:avLst/>
                  </a:prstGeom>
                  <a:noFill/>
                </pic:spPr>
              </pic:pic>
            </a:graphicData>
          </a:graphic>
        </wp:anchor>
      </w:drawing>
    </w:r>
    <w:r>
      <w:rPr>
        <w:noProof/>
        <w:lang w:eastAsia="en-GB"/>
      </w:rPr>
      <w:drawing>
        <wp:anchor distT="0" distB="0" distL="114300" distR="114300" simplePos="0" relativeHeight="251658240" behindDoc="1" locked="0" layoutInCell="1" allowOverlap="1" wp14:anchorId="47B8E0E5" wp14:editId="1A988BEF">
          <wp:simplePos x="0" y="0"/>
          <wp:positionH relativeFrom="column">
            <wp:posOffset>5244193</wp:posOffset>
          </wp:positionH>
          <wp:positionV relativeFrom="paragraph">
            <wp:posOffset>-57694</wp:posOffset>
          </wp:positionV>
          <wp:extent cx="1054619" cy="700644"/>
          <wp:effectExtent l="19050" t="0" r="0" b="0"/>
          <wp:wrapNone/>
          <wp:docPr id="8" name="Picture 5" descr="G--Physical Activity-PAHA-PAHAe_News&amp;Alerts-eNewsletters-2013-Logos-NHS SCOTLA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ysical Activity-PAHA-PAHAe_News&amp;Alerts-eNewsletters-2013-Logos-NHS SCOTLAND RGB.jpg"/>
                  <pic:cNvPicPr/>
                </pic:nvPicPr>
                <pic:blipFill>
                  <a:blip r:embed="rId2"/>
                  <a:stretch>
                    <a:fillRect/>
                  </a:stretch>
                </pic:blipFill>
                <pic:spPr>
                  <a:xfrm>
                    <a:off x="0" y="0"/>
                    <a:ext cx="1054619" cy="700644"/>
                  </a:xfrm>
                  <a:prstGeom prst="rect">
                    <a:avLst/>
                  </a:prstGeom>
                </pic:spPr>
              </pic:pic>
            </a:graphicData>
          </a:graphic>
        </wp:anchor>
      </w:drawing>
    </w:r>
  </w:p>
  <w:p w14:paraId="0C06BE41" w14:textId="77777777" w:rsidR="000C4A06" w:rsidRDefault="000C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AF57" w14:textId="77777777" w:rsidR="000C4A06" w:rsidRDefault="000C4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D20"/>
    <w:multiLevelType w:val="hybridMultilevel"/>
    <w:tmpl w:val="188A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6876"/>
    <w:multiLevelType w:val="hybridMultilevel"/>
    <w:tmpl w:val="35A458E4"/>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114613"/>
    <w:multiLevelType w:val="hybridMultilevel"/>
    <w:tmpl w:val="FF1E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2BB6"/>
    <w:multiLevelType w:val="hybridMultilevel"/>
    <w:tmpl w:val="5C7EB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A4386"/>
    <w:multiLevelType w:val="hybridMultilevel"/>
    <w:tmpl w:val="437A2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04AC1"/>
    <w:multiLevelType w:val="hybridMultilevel"/>
    <w:tmpl w:val="1BF2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41E02"/>
    <w:multiLevelType w:val="hybridMultilevel"/>
    <w:tmpl w:val="B9DC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C38A0"/>
    <w:multiLevelType w:val="hybridMultilevel"/>
    <w:tmpl w:val="09A8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63D21"/>
    <w:multiLevelType w:val="hybridMultilevel"/>
    <w:tmpl w:val="AB5211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402D"/>
    <w:multiLevelType w:val="hybridMultilevel"/>
    <w:tmpl w:val="9C501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60481"/>
    <w:multiLevelType w:val="hybridMultilevel"/>
    <w:tmpl w:val="CF4C44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34436"/>
    <w:multiLevelType w:val="hybridMultilevel"/>
    <w:tmpl w:val="C82E054A"/>
    <w:lvl w:ilvl="0" w:tplc="7212907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2" w15:restartNumberingAfterBreak="0">
    <w:nsid w:val="34100574"/>
    <w:multiLevelType w:val="hybridMultilevel"/>
    <w:tmpl w:val="BD7A6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D1B65"/>
    <w:multiLevelType w:val="hybridMultilevel"/>
    <w:tmpl w:val="5FE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E55A2"/>
    <w:multiLevelType w:val="hybridMultilevel"/>
    <w:tmpl w:val="E5F4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747E1"/>
    <w:multiLevelType w:val="hybridMultilevel"/>
    <w:tmpl w:val="9C78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45565"/>
    <w:multiLevelType w:val="hybridMultilevel"/>
    <w:tmpl w:val="C562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F604B"/>
    <w:multiLevelType w:val="hybridMultilevel"/>
    <w:tmpl w:val="EDBCD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00379"/>
    <w:multiLevelType w:val="hybridMultilevel"/>
    <w:tmpl w:val="9B2EC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F57B8"/>
    <w:multiLevelType w:val="hybridMultilevel"/>
    <w:tmpl w:val="6DEC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A31BA"/>
    <w:multiLevelType w:val="hybridMultilevel"/>
    <w:tmpl w:val="7944B5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F16C0"/>
    <w:multiLevelType w:val="hybridMultilevel"/>
    <w:tmpl w:val="B3541D8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22" w15:restartNumberingAfterBreak="0">
    <w:nsid w:val="6CFE20FC"/>
    <w:multiLevelType w:val="hybridMultilevel"/>
    <w:tmpl w:val="2F2E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E3E5C"/>
    <w:multiLevelType w:val="hybridMultilevel"/>
    <w:tmpl w:val="952A0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5912635">
    <w:abstractNumId w:val="22"/>
  </w:num>
  <w:num w:numId="2" w16cid:durableId="1904216430">
    <w:abstractNumId w:val="3"/>
  </w:num>
  <w:num w:numId="3" w16cid:durableId="1398817914">
    <w:abstractNumId w:val="20"/>
  </w:num>
  <w:num w:numId="4" w16cid:durableId="2113043237">
    <w:abstractNumId w:val="23"/>
  </w:num>
  <w:num w:numId="5" w16cid:durableId="60370281">
    <w:abstractNumId w:val="16"/>
  </w:num>
  <w:num w:numId="6" w16cid:durableId="110518805">
    <w:abstractNumId w:val="4"/>
  </w:num>
  <w:num w:numId="7" w16cid:durableId="2142306701">
    <w:abstractNumId w:val="10"/>
  </w:num>
  <w:num w:numId="8" w16cid:durableId="1248920347">
    <w:abstractNumId w:val="21"/>
  </w:num>
  <w:num w:numId="9" w16cid:durableId="1760448898">
    <w:abstractNumId w:val="8"/>
  </w:num>
  <w:num w:numId="10" w16cid:durableId="2109890502">
    <w:abstractNumId w:val="17"/>
  </w:num>
  <w:num w:numId="11" w16cid:durableId="1105730990">
    <w:abstractNumId w:val="12"/>
  </w:num>
  <w:num w:numId="12" w16cid:durableId="753012728">
    <w:abstractNumId w:val="18"/>
  </w:num>
  <w:num w:numId="13" w16cid:durableId="1586524825">
    <w:abstractNumId w:val="19"/>
  </w:num>
  <w:num w:numId="14" w16cid:durableId="1582249994">
    <w:abstractNumId w:val="7"/>
  </w:num>
  <w:num w:numId="15" w16cid:durableId="1935356344">
    <w:abstractNumId w:val="9"/>
  </w:num>
  <w:num w:numId="16" w16cid:durableId="1468354872">
    <w:abstractNumId w:val="5"/>
  </w:num>
  <w:num w:numId="17" w16cid:durableId="1695577652">
    <w:abstractNumId w:val="14"/>
  </w:num>
  <w:num w:numId="18" w16cid:durableId="1515850474">
    <w:abstractNumId w:val="6"/>
  </w:num>
  <w:num w:numId="19" w16cid:durableId="1075279765">
    <w:abstractNumId w:val="13"/>
  </w:num>
  <w:num w:numId="20" w16cid:durableId="505829787">
    <w:abstractNumId w:val="2"/>
  </w:num>
  <w:num w:numId="21" w16cid:durableId="868569354">
    <w:abstractNumId w:val="15"/>
  </w:num>
  <w:num w:numId="22" w16cid:durableId="122358394">
    <w:abstractNumId w:val="0"/>
  </w:num>
  <w:num w:numId="23" w16cid:durableId="50152318">
    <w:abstractNumId w:val="1"/>
  </w:num>
  <w:num w:numId="24" w16cid:durableId="847326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26"/>
    <w:rsid w:val="00036824"/>
    <w:rsid w:val="0005672E"/>
    <w:rsid w:val="00056971"/>
    <w:rsid w:val="000A5006"/>
    <w:rsid w:val="000B5A52"/>
    <w:rsid w:val="000C4A06"/>
    <w:rsid w:val="000D009F"/>
    <w:rsid w:val="000D11E6"/>
    <w:rsid w:val="000E7E50"/>
    <w:rsid w:val="00162C2C"/>
    <w:rsid w:val="001C3967"/>
    <w:rsid w:val="001F6C59"/>
    <w:rsid w:val="00203ACB"/>
    <w:rsid w:val="00234DCE"/>
    <w:rsid w:val="0023787D"/>
    <w:rsid w:val="002A44B4"/>
    <w:rsid w:val="00301D76"/>
    <w:rsid w:val="003519F4"/>
    <w:rsid w:val="003819F5"/>
    <w:rsid w:val="003A60BF"/>
    <w:rsid w:val="003E66E0"/>
    <w:rsid w:val="00457071"/>
    <w:rsid w:val="004A4F18"/>
    <w:rsid w:val="00516AA5"/>
    <w:rsid w:val="005526F3"/>
    <w:rsid w:val="005C3338"/>
    <w:rsid w:val="00634E88"/>
    <w:rsid w:val="00672584"/>
    <w:rsid w:val="00681DB3"/>
    <w:rsid w:val="006E012D"/>
    <w:rsid w:val="006F199D"/>
    <w:rsid w:val="007240AF"/>
    <w:rsid w:val="008304E3"/>
    <w:rsid w:val="00842C7E"/>
    <w:rsid w:val="00882826"/>
    <w:rsid w:val="008D78BB"/>
    <w:rsid w:val="00970490"/>
    <w:rsid w:val="00970A61"/>
    <w:rsid w:val="009E5E40"/>
    <w:rsid w:val="009F7FAA"/>
    <w:rsid w:val="00A71581"/>
    <w:rsid w:val="00AA0C8F"/>
    <w:rsid w:val="00B05291"/>
    <w:rsid w:val="00B06865"/>
    <w:rsid w:val="00B61AD9"/>
    <w:rsid w:val="00C10D8B"/>
    <w:rsid w:val="00C521F5"/>
    <w:rsid w:val="00CC1230"/>
    <w:rsid w:val="00CC3F4B"/>
    <w:rsid w:val="00D00143"/>
    <w:rsid w:val="00D440A1"/>
    <w:rsid w:val="00D74871"/>
    <w:rsid w:val="00DD60BE"/>
    <w:rsid w:val="00EE0B39"/>
    <w:rsid w:val="00EE2B12"/>
    <w:rsid w:val="00EE4195"/>
    <w:rsid w:val="00F16BAA"/>
    <w:rsid w:val="00F53303"/>
    <w:rsid w:val="00F7458D"/>
    <w:rsid w:val="00FE1D59"/>
    <w:rsid w:val="0143ED34"/>
    <w:rsid w:val="0CAE91A8"/>
    <w:rsid w:val="0D8A3CDF"/>
    <w:rsid w:val="11908F9D"/>
    <w:rsid w:val="13920DF1"/>
    <w:rsid w:val="1643B526"/>
    <w:rsid w:val="5EBA6305"/>
    <w:rsid w:val="6B7FBDB0"/>
    <w:rsid w:val="70C5ED8D"/>
    <w:rsid w:val="7A53A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F6E99E6"/>
  <w15:docId w15:val="{6B41305C-7F02-4C62-A024-F42DB0A4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84"/>
  </w:style>
  <w:style w:type="paragraph" w:styleId="Heading1">
    <w:name w:val="heading 1"/>
    <w:basedOn w:val="Normal"/>
    <w:next w:val="Normal"/>
    <w:link w:val="Heading1Char"/>
    <w:qFormat/>
    <w:rsid w:val="00D00143"/>
    <w:pPr>
      <w:keepNext/>
      <w:spacing w:after="0" w:line="240" w:lineRule="auto"/>
      <w:outlineLvl w:val="0"/>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character" w:customStyle="1" w:styleId="Heading1Char">
    <w:name w:val="Heading 1 Char"/>
    <w:basedOn w:val="DefaultParagraphFont"/>
    <w:link w:val="Heading1"/>
    <w:rsid w:val="00D00143"/>
    <w:rPr>
      <w:rFonts w:ascii="Arial" w:eastAsia="Times New Roman" w:hAnsi="Arial" w:cs="Arial"/>
      <w:b/>
      <w:bCs/>
      <w:sz w:val="24"/>
      <w:szCs w:val="24"/>
      <w:u w:val="single"/>
    </w:rPr>
  </w:style>
  <w:style w:type="paragraph" w:styleId="BodyText2">
    <w:name w:val="Body Text 2"/>
    <w:basedOn w:val="Normal"/>
    <w:link w:val="BodyText2Char"/>
    <w:rsid w:val="00D00143"/>
    <w:pPr>
      <w:spacing w:after="0" w:line="240" w:lineRule="auto"/>
    </w:pPr>
    <w:rPr>
      <w:rFonts w:ascii="Arial" w:eastAsia="Times New Roman" w:hAnsi="Arial" w:cs="Arial"/>
      <w:b/>
      <w:bCs/>
      <w:sz w:val="24"/>
      <w:szCs w:val="24"/>
      <w:u w:val="single"/>
    </w:rPr>
  </w:style>
  <w:style w:type="character" w:customStyle="1" w:styleId="BodyText2Char">
    <w:name w:val="Body Text 2 Char"/>
    <w:basedOn w:val="DefaultParagraphFont"/>
    <w:link w:val="BodyText2"/>
    <w:rsid w:val="00D00143"/>
    <w:rPr>
      <w:rFonts w:ascii="Arial" w:eastAsia="Times New Roman" w:hAnsi="Arial" w:cs="Arial"/>
      <w:b/>
      <w:bCs/>
      <w:sz w:val="24"/>
      <w:szCs w:val="24"/>
      <w:u w:val="single"/>
    </w:rPr>
  </w:style>
  <w:style w:type="character" w:styleId="Hyperlink">
    <w:name w:val="Hyperlink"/>
    <w:basedOn w:val="DefaultParagraphFont"/>
    <w:uiPriority w:val="99"/>
    <w:rsid w:val="00D00143"/>
    <w:rPr>
      <w:color w:val="0000FF" w:themeColor="hyperlink"/>
      <w:u w:val="single"/>
    </w:rPr>
  </w:style>
  <w:style w:type="paragraph" w:styleId="ListParagraph">
    <w:name w:val="List Paragraph"/>
    <w:basedOn w:val="Normal"/>
    <w:link w:val="ListParagraphChar"/>
    <w:uiPriority w:val="34"/>
    <w:qFormat/>
    <w:rsid w:val="00D00143"/>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D00143"/>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0143"/>
    <w:rPr>
      <w:color w:val="800080" w:themeColor="followedHyperlink"/>
      <w:u w:val="single"/>
    </w:rPr>
  </w:style>
  <w:style w:type="character" w:customStyle="1" w:styleId="ListParagraphChar">
    <w:name w:val="List Paragraph Char"/>
    <w:basedOn w:val="DefaultParagraphFont"/>
    <w:link w:val="ListParagraph"/>
    <w:uiPriority w:val="34"/>
    <w:rsid w:val="000D11E6"/>
    <w:rPr>
      <w:rFonts w:ascii="Times New Roman" w:eastAsia="Times New Roman" w:hAnsi="Times New Roman" w:cs="Times New Roman"/>
      <w:sz w:val="24"/>
      <w:szCs w:val="24"/>
    </w:rPr>
  </w:style>
  <w:style w:type="paragraph" w:customStyle="1" w:styleId="NormalArial">
    <w:name w:val="Normal + Arial"/>
    <w:aliases w:val="11 pt,Italic"/>
    <w:basedOn w:val="Normal"/>
    <w:link w:val="NormalArialChar"/>
    <w:uiPriority w:val="99"/>
    <w:rsid w:val="00D440A1"/>
    <w:pPr>
      <w:autoSpaceDE w:val="0"/>
      <w:autoSpaceDN w:val="0"/>
      <w:adjustRightInd w:val="0"/>
      <w:spacing w:after="0" w:line="240" w:lineRule="auto"/>
    </w:pPr>
    <w:rPr>
      <w:rFonts w:ascii="Arial" w:eastAsia="Times New Roman" w:hAnsi="Arial" w:cs="Arial"/>
    </w:rPr>
  </w:style>
  <w:style w:type="character" w:customStyle="1" w:styleId="NormalArialChar">
    <w:name w:val="Normal + Arial Char"/>
    <w:aliases w:val="11 pt Char,Italic Char Char"/>
    <w:basedOn w:val="DefaultParagraphFont"/>
    <w:link w:val="NormalArial"/>
    <w:uiPriority w:val="99"/>
    <w:locked/>
    <w:rsid w:val="00D440A1"/>
    <w:rPr>
      <w:rFonts w:ascii="Arial" w:eastAsia="Times New Roman" w:hAnsi="Arial" w:cs="Arial"/>
    </w:rPr>
  </w:style>
  <w:style w:type="character" w:styleId="Emphasis">
    <w:name w:val="Emphasis"/>
    <w:basedOn w:val="DefaultParagraphFont"/>
    <w:uiPriority w:val="20"/>
    <w:qFormat/>
    <w:rsid w:val="00F16BAA"/>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2584"/>
    <w:rPr>
      <w:b/>
      <w:bCs/>
    </w:rPr>
  </w:style>
  <w:style w:type="character" w:customStyle="1" w:styleId="CommentSubjectChar">
    <w:name w:val="Comment Subject Char"/>
    <w:basedOn w:val="CommentTextChar"/>
    <w:link w:val="CommentSubject"/>
    <w:uiPriority w:val="99"/>
    <w:semiHidden/>
    <w:rsid w:val="006725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02/acr.2361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dusa.wales.nhs.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lothian.scot.nhs.uk/NHSLothian/Healthcare/ClinicalGuidance/General/Medicines%20Policy%20and%20procedures%20-%20December%202009.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ssets.publishing.service.gov.uk/government/uploads/system/uploads/attachment_data/file/655225/Greenbook_chapter_6.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E32324A86564C9445C76138A4ADAC" ma:contentTypeVersion="6" ma:contentTypeDescription="Create a new document." ma:contentTypeScope="" ma:versionID="8e76715138ffdde5d67d8771b9fd7037">
  <xsd:schema xmlns:xsd="http://www.w3.org/2001/XMLSchema" xmlns:xs="http://www.w3.org/2001/XMLSchema" xmlns:p="http://schemas.microsoft.com/office/2006/metadata/properties" xmlns:ns2="6709aecb-b5f6-4cb7-be91-08fb9eff6ea6" xmlns:ns3="d26b2b00-33d8-4363-8107-78afcc9d8d91" targetNamespace="http://schemas.microsoft.com/office/2006/metadata/properties" ma:root="true" ma:fieldsID="db7611b9651fa9f9f0c3067f1b9b2a5f" ns2:_="" ns3:_="">
    <xsd:import namespace="6709aecb-b5f6-4cb7-be91-08fb9eff6ea6"/>
    <xsd:import namespace="d26b2b00-33d8-4363-8107-78afcc9d8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9aecb-b5f6-4cb7-be91-08fb9eff6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b2b00-33d8-4363-8107-78afcc9d8d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6b2b00-33d8-4363-8107-78afcc9d8d91">
      <UserInfo>
        <DisplayName/>
        <AccountId xsi:nil="true"/>
        <AccountType/>
      </UserInfo>
    </SharedWithUsers>
  </documentManagement>
</p:properties>
</file>

<file path=customXml/itemProps1.xml><?xml version="1.0" encoding="utf-8"?>
<ds:datastoreItem xmlns:ds="http://schemas.openxmlformats.org/officeDocument/2006/customXml" ds:itemID="{342FF380-D58A-4EDB-BD1E-C0003C460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9aecb-b5f6-4cb7-be91-08fb9eff6ea6"/>
    <ds:schemaRef ds:uri="d26b2b00-33d8-4363-8107-78afcc9d8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B0CF2-62D0-4264-A953-D55779E27E86}">
  <ds:schemaRefs>
    <ds:schemaRef ds:uri="http://schemas.microsoft.com/sharepoint/v3/contenttype/forms"/>
  </ds:schemaRefs>
</ds:datastoreItem>
</file>

<file path=customXml/itemProps3.xml><?xml version="1.0" encoding="utf-8"?>
<ds:datastoreItem xmlns:ds="http://schemas.openxmlformats.org/officeDocument/2006/customXml" ds:itemID="{66B09132-9937-46DE-886D-B1469385BA55}">
  <ds:schemaRefs>
    <ds:schemaRef ds:uri="http://schemas.microsoft.com/office/2006/metadata/properties"/>
    <ds:schemaRef ds:uri="http://schemas.microsoft.com/office/infopath/2007/PartnerControls"/>
    <ds:schemaRef ds:uri="d26b2b00-33d8-4363-8107-78afcc9d8d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Paolina Leseva</dc:creator>
  <cp:lastModifiedBy>Kirsty Young</cp:lastModifiedBy>
  <cp:revision>2</cp:revision>
  <cp:lastPrinted>2018-03-08T10:48:00Z</cp:lastPrinted>
  <dcterms:created xsi:type="dcterms:W3CDTF">2023-07-26T06:13:00Z</dcterms:created>
  <dcterms:modified xsi:type="dcterms:W3CDTF">2023-07-26T06:13:00Z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0x0101000ABE32324A86564C9445C76138A4ADAC</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{"FileActivityType":"6","FileActivityTimeStamp":"2023-03-28T16:38:56.327Z","FileActivityUsersOnPage":[{"DisplayName":"Fell, Andrew","Id":"fellan7863@xggc.scot.nhs.uk"}],"FileActivityNavigationId":null}</vt:lpwstr>
  </property>
  <property fmtid="{D5CDD505-2E9C-101B-9397-08002B2CF9AE}" pid="6" name="TriggerFlowInfo">
    <vt:lpwstr/>
  </property>
</Properties>
</file>