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C674F" w14:textId="1D2C12DB" w:rsidR="00F53303" w:rsidRPr="000C4A06" w:rsidRDefault="00BE3274">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1105B865" wp14:editId="1E4A22F7">
                <wp:simplePos x="0" y="0"/>
                <wp:positionH relativeFrom="column">
                  <wp:posOffset>-548640</wp:posOffset>
                </wp:positionH>
                <wp:positionV relativeFrom="paragraph">
                  <wp:posOffset>274320</wp:posOffset>
                </wp:positionV>
                <wp:extent cx="6629400" cy="7835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AC056" w14:textId="77777777" w:rsidR="009F677F" w:rsidRDefault="009F677F" w:rsidP="00A71581">
                            <w:pPr>
                              <w:jc w:val="center"/>
                              <w:rPr>
                                <w:rFonts w:ascii="Arial" w:hAnsi="Arial" w:cs="Arial"/>
                                <w:b/>
                                <w:color w:val="00A2E5"/>
                                <w:sz w:val="36"/>
                              </w:rPr>
                            </w:pPr>
                            <w:r>
                              <w:rPr>
                                <w:rFonts w:ascii="Arial" w:hAnsi="Arial" w:cs="Arial"/>
                                <w:b/>
                                <w:color w:val="00A2E5"/>
                                <w:sz w:val="36"/>
                              </w:rPr>
                              <w:t>Scottish Paediatric &amp; Adolescent Rheumatology Network</w:t>
                            </w:r>
                          </w:p>
                          <w:p w14:paraId="52C17E81" w14:textId="77777777" w:rsidR="009F677F" w:rsidRPr="00F53303" w:rsidRDefault="009F677F" w:rsidP="00A71581">
                            <w:pPr>
                              <w:jc w:val="center"/>
                              <w:rPr>
                                <w:rFonts w:ascii="Arial" w:hAnsi="Arial" w:cs="Arial"/>
                                <w:b/>
                                <w:color w:val="00A2E5"/>
                                <w:sz w:val="36"/>
                              </w:rPr>
                            </w:pPr>
                            <w:r>
                              <w:rPr>
                                <w:rFonts w:ascii="Arial" w:hAnsi="Arial" w:cs="Arial"/>
                                <w:b/>
                                <w:color w:val="00A2E5"/>
                                <w:sz w:val="36"/>
                              </w:rPr>
                              <w:t>Guideline for Rituximab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5B865" id="_x0000_t202" coordsize="21600,21600" o:spt="202" path="m,l,21600r21600,l21600,xe">
                <v:stroke joinstyle="miter"/>
                <v:path gradientshapeok="t" o:connecttype="rect"/>
              </v:shapetype>
              <v:shape id="Text Box 4" o:spid="_x0000_s1026" type="#_x0000_t202" style="position:absolute;margin-left:-43.2pt;margin-top:21.6pt;width:522pt;height:6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" filled="f" stroked="f">
                <v:textbox>
                  <w:txbxContent>
                    <w:p w14:paraId="544AC056" w14:textId="77777777" w:rsidR="009F677F" w:rsidRDefault="009F677F" w:rsidP="00A71581">
                      <w:pPr>
                        <w:jc w:val="center"/>
                        <w:rPr>
                          <w:rFonts w:ascii="Arial" w:hAnsi="Arial" w:cs="Arial"/>
                          <w:b/>
                          <w:color w:val="00A2E5"/>
                          <w:sz w:val="36"/>
                        </w:rPr>
                      </w:pPr>
                      <w:r>
                        <w:rPr>
                          <w:rFonts w:ascii="Arial" w:hAnsi="Arial" w:cs="Arial"/>
                          <w:b/>
                          <w:color w:val="00A2E5"/>
                          <w:sz w:val="36"/>
                        </w:rPr>
                        <w:t>Scottish Paediatric &amp; Adolescent Rheumatology Network</w:t>
                      </w:r>
                    </w:p>
                    <w:p w14:paraId="52C17E81" w14:textId="77777777" w:rsidR="009F677F" w:rsidRPr="00F53303" w:rsidRDefault="009F677F" w:rsidP="00A71581">
                      <w:pPr>
                        <w:jc w:val="center"/>
                        <w:rPr>
                          <w:rFonts w:ascii="Arial" w:hAnsi="Arial" w:cs="Arial"/>
                          <w:b/>
                          <w:color w:val="00A2E5"/>
                          <w:sz w:val="36"/>
                        </w:rPr>
                      </w:pPr>
                      <w:r>
                        <w:rPr>
                          <w:rFonts w:ascii="Arial" w:hAnsi="Arial" w:cs="Arial"/>
                          <w:b/>
                          <w:color w:val="00A2E5"/>
                          <w:sz w:val="36"/>
                        </w:rPr>
                        <w:t>Guideline for Rituximab Use</w:t>
                      </w:r>
                    </w:p>
                  </w:txbxContent>
                </v:textbox>
              </v:shape>
            </w:pict>
          </mc:Fallback>
        </mc:AlternateContent>
      </w:r>
    </w:p>
    <w:p w14:paraId="2D540FA0" w14:textId="77777777" w:rsidR="00F53303" w:rsidRPr="009D1C0E" w:rsidRDefault="00F53303" w:rsidP="00F53303">
      <w:pPr>
        <w:rPr>
          <w:rFonts w:ascii="Arial" w:hAnsi="Arial" w:cs="Arial"/>
          <w:sz w:val="20"/>
          <w:szCs w:val="20"/>
        </w:rPr>
      </w:pPr>
    </w:p>
    <w:p w14:paraId="0CE8435F" w14:textId="77777777" w:rsidR="00A71581" w:rsidRPr="009D1C0E" w:rsidRDefault="00A71581" w:rsidP="00D00143">
      <w:pPr>
        <w:spacing w:after="0"/>
        <w:rPr>
          <w:rFonts w:ascii="Arial" w:hAnsi="Arial" w:cs="Arial"/>
          <w:sz w:val="20"/>
          <w:szCs w:val="20"/>
        </w:rPr>
      </w:pPr>
    </w:p>
    <w:p w14:paraId="456D499C" w14:textId="77777777" w:rsidR="00A71581" w:rsidRPr="009D1C0E" w:rsidRDefault="00A71581" w:rsidP="00D00143">
      <w:pPr>
        <w:spacing w:after="0"/>
        <w:rPr>
          <w:rFonts w:ascii="Arial" w:hAnsi="Arial" w:cs="Arial"/>
          <w:sz w:val="20"/>
          <w:szCs w:val="20"/>
        </w:rPr>
      </w:pPr>
    </w:p>
    <w:p w14:paraId="0CADC50F" w14:textId="77777777" w:rsidR="00A71581" w:rsidRPr="009D1C0E" w:rsidRDefault="00A71581" w:rsidP="00D00143">
      <w:pPr>
        <w:spacing w:after="0"/>
        <w:rPr>
          <w:rFonts w:ascii="Arial" w:hAnsi="Arial" w:cs="Arial"/>
          <w:sz w:val="20"/>
          <w:szCs w:val="20"/>
        </w:rPr>
      </w:pPr>
    </w:p>
    <w:p w14:paraId="016D8CB2" w14:textId="2287D6AB" w:rsidR="00B6751E" w:rsidRPr="00B6751E" w:rsidRDefault="008673F6" w:rsidP="00B6751E">
      <w:pPr>
        <w:spacing w:after="0"/>
        <w:rPr>
          <w:rFonts w:ascii="Arial" w:hAnsi="Arial" w:cs="Arial"/>
          <w:sz w:val="20"/>
          <w:szCs w:val="20"/>
        </w:rPr>
      </w:pPr>
      <w:r w:rsidRPr="7E60B656">
        <w:rPr>
          <w:rFonts w:ascii="Arial" w:hAnsi="Arial" w:cs="Arial"/>
          <w:sz w:val="20"/>
          <w:szCs w:val="20"/>
        </w:rPr>
        <w:t>Ritux</w:t>
      </w:r>
      <w:r w:rsidR="00A71581" w:rsidRPr="7E60B656">
        <w:rPr>
          <w:rFonts w:ascii="Arial" w:hAnsi="Arial" w:cs="Arial"/>
          <w:sz w:val="20"/>
          <w:szCs w:val="20"/>
        </w:rPr>
        <w:t xml:space="preserve">imab is an anti-inflammatory monoclonal antibody, derived from human and mouse cells. </w:t>
      </w:r>
      <w:r w:rsidR="00B6751E" w:rsidRPr="7E60B656">
        <w:rPr>
          <w:rFonts w:ascii="Arial" w:hAnsi="Arial" w:cs="Arial"/>
          <w:sz w:val="20"/>
          <w:szCs w:val="20"/>
        </w:rPr>
        <w:t xml:space="preserve">Rituximab removes B cells, therefore reducing the amount of </w:t>
      </w:r>
      <w:proofErr w:type="gramStart"/>
      <w:r w:rsidR="5343168F" w:rsidRPr="7E60B656">
        <w:rPr>
          <w:rFonts w:ascii="Arial" w:hAnsi="Arial" w:cs="Arial"/>
          <w:sz w:val="20"/>
          <w:szCs w:val="20"/>
        </w:rPr>
        <w:t>auto</w:t>
      </w:r>
      <w:r w:rsidR="00B6751E" w:rsidRPr="7E60B656">
        <w:rPr>
          <w:rFonts w:ascii="Arial" w:hAnsi="Arial" w:cs="Arial"/>
          <w:sz w:val="20"/>
          <w:szCs w:val="20"/>
        </w:rPr>
        <w:t>-antibodies</w:t>
      </w:r>
      <w:proofErr w:type="gramEnd"/>
      <w:r w:rsidR="00B6751E" w:rsidRPr="7E60B656">
        <w:rPr>
          <w:rFonts w:ascii="Arial" w:hAnsi="Arial" w:cs="Arial"/>
          <w:sz w:val="20"/>
          <w:szCs w:val="20"/>
        </w:rPr>
        <w:t xml:space="preserve"> such as rheumatoid factor (RF), double stranded DNA (dsDNA) and anti-neutrophil cytoplasmic antibodies</w:t>
      </w:r>
    </w:p>
    <w:p w14:paraId="62BB3DA3" w14:textId="434F581B" w:rsidR="00B6751E" w:rsidRDefault="00B6751E" w:rsidP="00D00143">
      <w:pPr>
        <w:spacing w:after="0"/>
        <w:rPr>
          <w:rFonts w:ascii="Arial" w:hAnsi="Arial" w:cs="Arial"/>
          <w:sz w:val="20"/>
          <w:szCs w:val="20"/>
        </w:rPr>
      </w:pPr>
      <w:r w:rsidRPr="7E60B656">
        <w:rPr>
          <w:rFonts w:ascii="Arial" w:hAnsi="Arial" w:cs="Arial"/>
          <w:sz w:val="20"/>
          <w:szCs w:val="20"/>
        </w:rPr>
        <w:t>(</w:t>
      </w:r>
      <w:r w:rsidR="002E3D7C">
        <w:rPr>
          <w:rFonts w:ascii="Arial" w:hAnsi="Arial" w:cs="Arial"/>
          <w:sz w:val="20"/>
          <w:szCs w:val="20"/>
        </w:rPr>
        <w:t xml:space="preserve">MPO/PR3 </w:t>
      </w:r>
      <w:r w:rsidRPr="7E60B656">
        <w:rPr>
          <w:rFonts w:ascii="Arial" w:hAnsi="Arial" w:cs="Arial"/>
          <w:sz w:val="20"/>
          <w:szCs w:val="20"/>
        </w:rPr>
        <w:t>ANCA) and thereby reduce disease activity.</w:t>
      </w:r>
    </w:p>
    <w:p w14:paraId="4438802A" w14:textId="77777777" w:rsidR="00B6751E" w:rsidRDefault="00B6751E" w:rsidP="00D00143">
      <w:pPr>
        <w:spacing w:after="0"/>
        <w:rPr>
          <w:rFonts w:ascii="Arial" w:hAnsi="Arial" w:cs="Arial"/>
          <w:sz w:val="20"/>
          <w:szCs w:val="20"/>
        </w:rPr>
      </w:pPr>
    </w:p>
    <w:p w14:paraId="4699AA6B" w14:textId="77777777" w:rsidR="00A71581" w:rsidRPr="009D1C0E" w:rsidRDefault="000F46DE" w:rsidP="00D00143">
      <w:pPr>
        <w:spacing w:after="0"/>
        <w:rPr>
          <w:rFonts w:ascii="Arial" w:hAnsi="Arial" w:cs="Arial"/>
          <w:sz w:val="20"/>
          <w:szCs w:val="20"/>
        </w:rPr>
      </w:pPr>
      <w:r w:rsidRPr="009D1C0E">
        <w:rPr>
          <w:rFonts w:ascii="Arial" w:hAnsi="Arial" w:cs="Arial"/>
          <w:sz w:val="20"/>
          <w:szCs w:val="20"/>
        </w:rPr>
        <w:t xml:space="preserve">B cells reappear 4-12 months after therapy; </w:t>
      </w:r>
      <w:proofErr w:type="gramStart"/>
      <w:r w:rsidRPr="009D1C0E">
        <w:rPr>
          <w:rFonts w:ascii="Arial" w:hAnsi="Arial" w:cs="Arial"/>
          <w:sz w:val="20"/>
          <w:szCs w:val="20"/>
        </w:rPr>
        <w:t>however</w:t>
      </w:r>
      <w:proofErr w:type="gramEnd"/>
      <w:r w:rsidRPr="009D1C0E">
        <w:rPr>
          <w:rFonts w:ascii="Arial" w:hAnsi="Arial" w:cs="Arial"/>
          <w:sz w:val="20"/>
          <w:szCs w:val="20"/>
        </w:rPr>
        <w:t xml:space="preserve"> memory B cells can remain suppressed for up to 2 years. </w:t>
      </w:r>
      <w:r w:rsidR="00A71581" w:rsidRPr="009D1C0E">
        <w:rPr>
          <w:rFonts w:ascii="Arial" w:hAnsi="Arial" w:cs="Arial"/>
          <w:sz w:val="20"/>
          <w:szCs w:val="20"/>
        </w:rPr>
        <w:t>It has been shown to be effective in the management of many paediatric rheumatological conditions including:</w:t>
      </w:r>
    </w:p>
    <w:p w14:paraId="102B9893" w14:textId="77777777" w:rsidR="00301D76" w:rsidRPr="009D1C0E" w:rsidRDefault="00301D76" w:rsidP="00D00143">
      <w:pPr>
        <w:spacing w:after="0"/>
        <w:rPr>
          <w:rFonts w:ascii="Arial" w:hAnsi="Arial" w:cs="Arial"/>
          <w:sz w:val="20"/>
          <w:szCs w:val="20"/>
        </w:rPr>
      </w:pPr>
    </w:p>
    <w:p w14:paraId="738900BD" w14:textId="77777777" w:rsidR="000F46DE" w:rsidRPr="009D1C0E" w:rsidRDefault="000F46DE" w:rsidP="000F46DE">
      <w:pPr>
        <w:pStyle w:val="ListParagraph"/>
        <w:numPr>
          <w:ilvl w:val="0"/>
          <w:numId w:val="23"/>
        </w:numPr>
        <w:rPr>
          <w:rFonts w:ascii="Arial" w:hAnsi="Arial" w:cs="Arial"/>
          <w:sz w:val="20"/>
          <w:szCs w:val="20"/>
        </w:rPr>
      </w:pPr>
      <w:r w:rsidRPr="009D1C0E">
        <w:rPr>
          <w:rFonts w:ascii="Arial" w:hAnsi="Arial" w:cs="Arial"/>
          <w:sz w:val="20"/>
          <w:szCs w:val="20"/>
        </w:rPr>
        <w:t>Patients with Juvenile onset Systemic Lupus Erythematosus (JSLE)</w:t>
      </w:r>
    </w:p>
    <w:p w14:paraId="69EE3B7C" w14:textId="77777777" w:rsidR="000F46DE" w:rsidRPr="009D1C0E" w:rsidRDefault="000F46DE" w:rsidP="000F46DE">
      <w:pPr>
        <w:pStyle w:val="ListParagraph"/>
        <w:numPr>
          <w:ilvl w:val="0"/>
          <w:numId w:val="22"/>
        </w:numPr>
        <w:rPr>
          <w:rFonts w:ascii="Arial" w:hAnsi="Arial" w:cs="Arial"/>
          <w:sz w:val="20"/>
          <w:szCs w:val="20"/>
        </w:rPr>
      </w:pPr>
      <w:r w:rsidRPr="009D1C0E">
        <w:rPr>
          <w:rFonts w:ascii="Arial" w:hAnsi="Arial" w:cs="Arial"/>
          <w:sz w:val="20"/>
          <w:szCs w:val="20"/>
        </w:rPr>
        <w:t>Dermatomyositis</w:t>
      </w:r>
    </w:p>
    <w:p w14:paraId="736CE261" w14:textId="77777777" w:rsidR="000F46DE" w:rsidRPr="009D1C0E" w:rsidRDefault="000F46DE" w:rsidP="000F46DE">
      <w:pPr>
        <w:pStyle w:val="ListParagraph"/>
        <w:numPr>
          <w:ilvl w:val="0"/>
          <w:numId w:val="22"/>
        </w:numPr>
        <w:rPr>
          <w:rFonts w:ascii="Arial" w:hAnsi="Arial" w:cs="Arial"/>
          <w:sz w:val="20"/>
          <w:szCs w:val="20"/>
        </w:rPr>
      </w:pPr>
      <w:r w:rsidRPr="009D1C0E">
        <w:rPr>
          <w:rFonts w:ascii="Arial" w:hAnsi="Arial" w:cs="Arial"/>
          <w:sz w:val="20"/>
          <w:szCs w:val="20"/>
        </w:rPr>
        <w:t>Rheumatoid factor positive juvenile idiopathic arthritis (JIA)</w:t>
      </w:r>
    </w:p>
    <w:p w14:paraId="33359761" w14:textId="77777777" w:rsidR="000F46DE" w:rsidRPr="009D1C0E" w:rsidRDefault="000F46DE" w:rsidP="000F46DE">
      <w:pPr>
        <w:pStyle w:val="ListParagraph"/>
        <w:numPr>
          <w:ilvl w:val="0"/>
          <w:numId w:val="22"/>
        </w:numPr>
        <w:rPr>
          <w:rFonts w:ascii="Arial" w:hAnsi="Arial" w:cs="Arial"/>
          <w:sz w:val="20"/>
          <w:szCs w:val="20"/>
        </w:rPr>
      </w:pPr>
      <w:r w:rsidRPr="009D1C0E">
        <w:rPr>
          <w:rFonts w:ascii="Arial" w:hAnsi="Arial" w:cs="Arial"/>
          <w:sz w:val="20"/>
          <w:szCs w:val="20"/>
        </w:rPr>
        <w:t xml:space="preserve">Systemic vasculitis who </w:t>
      </w:r>
      <w:proofErr w:type="gramStart"/>
      <w:r w:rsidRPr="009D1C0E">
        <w:rPr>
          <w:rFonts w:ascii="Arial" w:hAnsi="Arial" w:cs="Arial"/>
          <w:sz w:val="20"/>
          <w:szCs w:val="20"/>
        </w:rPr>
        <w:t>have</w:t>
      </w:r>
      <w:proofErr w:type="gramEnd"/>
      <w:r w:rsidRPr="009D1C0E">
        <w:rPr>
          <w:rFonts w:ascii="Arial" w:hAnsi="Arial" w:cs="Arial"/>
          <w:sz w:val="20"/>
          <w:szCs w:val="20"/>
        </w:rPr>
        <w:t xml:space="preserve"> not responded to standard treatments, such as azathioprine, mycophenolate mofetil, methotrexate and corticosteroids. </w:t>
      </w:r>
    </w:p>
    <w:p w14:paraId="29FD2CB2" w14:textId="77777777" w:rsidR="00D00143" w:rsidRPr="009D1C0E" w:rsidRDefault="000F46DE" w:rsidP="000F46DE">
      <w:pPr>
        <w:pStyle w:val="ListParagraph"/>
        <w:numPr>
          <w:ilvl w:val="0"/>
          <w:numId w:val="22"/>
        </w:numPr>
        <w:rPr>
          <w:rFonts w:ascii="Arial" w:hAnsi="Arial" w:cs="Arial"/>
          <w:b/>
          <w:bCs/>
          <w:sz w:val="20"/>
          <w:szCs w:val="20"/>
          <w:u w:val="single"/>
        </w:rPr>
      </w:pPr>
      <w:r w:rsidRPr="009D1C0E">
        <w:rPr>
          <w:rFonts w:ascii="Arial" w:hAnsi="Arial" w:cs="Arial"/>
          <w:sz w:val="20"/>
          <w:szCs w:val="20"/>
        </w:rPr>
        <w:t xml:space="preserve">First line treatment for patients with ANCA positive vasculitis and systemic lupus erythematosus with severe major organ involvement </w:t>
      </w:r>
      <w:proofErr w:type="spellStart"/>
      <w:r w:rsidRPr="009D1C0E">
        <w:rPr>
          <w:rFonts w:ascii="Arial" w:hAnsi="Arial" w:cs="Arial"/>
          <w:sz w:val="20"/>
          <w:szCs w:val="20"/>
        </w:rPr>
        <w:t>eg.</w:t>
      </w:r>
      <w:proofErr w:type="spellEnd"/>
      <w:r w:rsidRPr="009D1C0E">
        <w:rPr>
          <w:rFonts w:ascii="Arial" w:hAnsi="Arial" w:cs="Arial"/>
          <w:sz w:val="20"/>
          <w:szCs w:val="20"/>
        </w:rPr>
        <w:t xml:space="preserve"> renal or central nervous system (CNS)</w:t>
      </w:r>
    </w:p>
    <w:p w14:paraId="70A874F0" w14:textId="77777777" w:rsidR="000F46DE" w:rsidRPr="009D1C0E" w:rsidRDefault="000F46DE" w:rsidP="00A71581">
      <w:pPr>
        <w:spacing w:after="0"/>
        <w:rPr>
          <w:rFonts w:ascii="Arial" w:hAnsi="Arial" w:cs="Arial"/>
          <w:b/>
          <w:bCs/>
          <w:sz w:val="20"/>
          <w:szCs w:val="20"/>
          <w:u w:val="single"/>
        </w:rPr>
      </w:pPr>
    </w:p>
    <w:p w14:paraId="099B17F2" w14:textId="77777777" w:rsidR="00A71581" w:rsidRPr="009D1C0E" w:rsidRDefault="00D00143" w:rsidP="00A71581">
      <w:pPr>
        <w:spacing w:after="0"/>
        <w:rPr>
          <w:rFonts w:ascii="Arial" w:hAnsi="Arial" w:cs="Arial"/>
          <w:b/>
          <w:bCs/>
          <w:sz w:val="20"/>
          <w:szCs w:val="20"/>
          <w:u w:val="single"/>
        </w:rPr>
      </w:pPr>
      <w:r w:rsidRPr="009D1C0E">
        <w:rPr>
          <w:rFonts w:ascii="Arial" w:hAnsi="Arial" w:cs="Arial"/>
          <w:b/>
          <w:bCs/>
          <w:sz w:val="20"/>
          <w:szCs w:val="20"/>
          <w:u w:val="single"/>
        </w:rPr>
        <w:t>Contra-indications:</w:t>
      </w:r>
    </w:p>
    <w:p w14:paraId="1DF26307" w14:textId="77777777" w:rsidR="00A71581" w:rsidRPr="009D1C0E" w:rsidRDefault="00A71581" w:rsidP="00A71581">
      <w:pPr>
        <w:numPr>
          <w:ilvl w:val="0"/>
          <w:numId w:val="10"/>
        </w:numPr>
        <w:autoSpaceDE w:val="0"/>
        <w:autoSpaceDN w:val="0"/>
        <w:adjustRightInd w:val="0"/>
        <w:spacing w:after="0" w:line="240" w:lineRule="auto"/>
        <w:rPr>
          <w:rFonts w:ascii="Arial" w:hAnsi="Arial" w:cs="Arial"/>
          <w:sz w:val="20"/>
          <w:szCs w:val="20"/>
        </w:rPr>
      </w:pPr>
      <w:r w:rsidRPr="009D1C0E">
        <w:rPr>
          <w:rFonts w:ascii="Arial" w:hAnsi="Arial" w:cs="Arial"/>
          <w:sz w:val="20"/>
          <w:szCs w:val="20"/>
        </w:rPr>
        <w:t>Hist</w:t>
      </w:r>
      <w:r w:rsidR="000F46DE" w:rsidRPr="009D1C0E">
        <w:rPr>
          <w:rFonts w:ascii="Arial" w:hAnsi="Arial" w:cs="Arial"/>
          <w:sz w:val="20"/>
          <w:szCs w:val="20"/>
        </w:rPr>
        <w:t>ory of hypersensitivity to ritu</w:t>
      </w:r>
      <w:r w:rsidRPr="009D1C0E">
        <w:rPr>
          <w:rFonts w:ascii="Arial" w:hAnsi="Arial" w:cs="Arial"/>
          <w:sz w:val="20"/>
          <w:szCs w:val="20"/>
        </w:rPr>
        <w:t>ximab, other murine proteins or to any of the excipients</w:t>
      </w:r>
    </w:p>
    <w:p w14:paraId="76CDBB49" w14:textId="77777777" w:rsidR="00A71581" w:rsidRPr="009D1C0E" w:rsidRDefault="00A71581" w:rsidP="00A71581">
      <w:pPr>
        <w:numPr>
          <w:ilvl w:val="0"/>
          <w:numId w:val="10"/>
        </w:numPr>
        <w:autoSpaceDE w:val="0"/>
        <w:autoSpaceDN w:val="0"/>
        <w:adjustRightInd w:val="0"/>
        <w:spacing w:after="0" w:line="240" w:lineRule="auto"/>
        <w:rPr>
          <w:rFonts w:ascii="Arial" w:hAnsi="Arial" w:cs="Arial"/>
          <w:sz w:val="20"/>
          <w:szCs w:val="20"/>
        </w:rPr>
      </w:pPr>
      <w:r w:rsidRPr="009D1C0E">
        <w:rPr>
          <w:rFonts w:ascii="Arial" w:hAnsi="Arial" w:cs="Arial"/>
          <w:sz w:val="20"/>
          <w:szCs w:val="20"/>
        </w:rPr>
        <w:t>Tuberculosis</w:t>
      </w:r>
    </w:p>
    <w:p w14:paraId="4D96E51E" w14:textId="77777777" w:rsidR="00A71581" w:rsidRPr="009D1C0E" w:rsidRDefault="00A71581" w:rsidP="00A71581">
      <w:pPr>
        <w:numPr>
          <w:ilvl w:val="0"/>
          <w:numId w:val="10"/>
        </w:numPr>
        <w:autoSpaceDE w:val="0"/>
        <w:autoSpaceDN w:val="0"/>
        <w:adjustRightInd w:val="0"/>
        <w:spacing w:after="0" w:line="240" w:lineRule="auto"/>
        <w:rPr>
          <w:rFonts w:ascii="Arial" w:hAnsi="Arial" w:cs="Arial"/>
          <w:sz w:val="20"/>
          <w:szCs w:val="20"/>
        </w:rPr>
      </w:pPr>
      <w:r w:rsidRPr="009D1C0E">
        <w:rPr>
          <w:rFonts w:ascii="Arial" w:hAnsi="Arial" w:cs="Arial"/>
          <w:sz w:val="20"/>
          <w:szCs w:val="20"/>
        </w:rPr>
        <w:t xml:space="preserve">Severe infections </w:t>
      </w:r>
      <w:proofErr w:type="gramStart"/>
      <w:r w:rsidRPr="009D1C0E">
        <w:rPr>
          <w:rFonts w:ascii="Arial" w:hAnsi="Arial" w:cs="Arial"/>
          <w:sz w:val="20"/>
          <w:szCs w:val="20"/>
        </w:rPr>
        <w:t>e.g.</w:t>
      </w:r>
      <w:proofErr w:type="gramEnd"/>
      <w:r w:rsidRPr="009D1C0E">
        <w:rPr>
          <w:rFonts w:ascii="Arial" w:hAnsi="Arial" w:cs="Arial"/>
          <w:sz w:val="20"/>
          <w:szCs w:val="20"/>
        </w:rPr>
        <w:t xml:space="preserve"> sepsis, abscesses and opportunistic infections</w:t>
      </w:r>
    </w:p>
    <w:p w14:paraId="30E084A5" w14:textId="77777777" w:rsidR="00A71581" w:rsidRPr="009D1C0E" w:rsidRDefault="00A71581" w:rsidP="00A71581">
      <w:pPr>
        <w:numPr>
          <w:ilvl w:val="0"/>
          <w:numId w:val="10"/>
        </w:numPr>
        <w:autoSpaceDE w:val="0"/>
        <w:autoSpaceDN w:val="0"/>
        <w:adjustRightInd w:val="0"/>
        <w:spacing w:after="0" w:line="240" w:lineRule="auto"/>
        <w:rPr>
          <w:rFonts w:ascii="Arial" w:hAnsi="Arial" w:cs="Arial"/>
          <w:sz w:val="20"/>
          <w:szCs w:val="20"/>
        </w:rPr>
      </w:pPr>
      <w:r w:rsidRPr="009D1C0E">
        <w:rPr>
          <w:rFonts w:ascii="Arial" w:hAnsi="Arial" w:cs="Arial"/>
          <w:sz w:val="20"/>
          <w:szCs w:val="20"/>
        </w:rPr>
        <w:t>Moderate or severe heart failure</w:t>
      </w:r>
    </w:p>
    <w:p w14:paraId="304D7221" w14:textId="77777777" w:rsidR="009D1C0E" w:rsidRPr="009D1C0E" w:rsidRDefault="009D1C0E" w:rsidP="00A71581">
      <w:pPr>
        <w:numPr>
          <w:ilvl w:val="0"/>
          <w:numId w:val="10"/>
        </w:numPr>
        <w:autoSpaceDE w:val="0"/>
        <w:autoSpaceDN w:val="0"/>
        <w:adjustRightInd w:val="0"/>
        <w:spacing w:after="0" w:line="240" w:lineRule="auto"/>
        <w:rPr>
          <w:rFonts w:ascii="Arial" w:hAnsi="Arial" w:cs="Arial"/>
          <w:sz w:val="20"/>
          <w:szCs w:val="20"/>
        </w:rPr>
      </w:pPr>
      <w:r w:rsidRPr="009D1C0E">
        <w:rPr>
          <w:rFonts w:ascii="Arial" w:hAnsi="Arial" w:cs="Arial"/>
          <w:sz w:val="20"/>
          <w:szCs w:val="20"/>
        </w:rPr>
        <w:t>Patients in a severely immunocompromised state</w:t>
      </w:r>
    </w:p>
    <w:p w14:paraId="26201AB5" w14:textId="77777777" w:rsidR="00A71581" w:rsidRPr="009D1C0E" w:rsidRDefault="00A71581" w:rsidP="00A71581">
      <w:pPr>
        <w:numPr>
          <w:ilvl w:val="0"/>
          <w:numId w:val="10"/>
        </w:numPr>
        <w:autoSpaceDE w:val="0"/>
        <w:autoSpaceDN w:val="0"/>
        <w:adjustRightInd w:val="0"/>
        <w:spacing w:after="0" w:line="240" w:lineRule="auto"/>
        <w:rPr>
          <w:rFonts w:ascii="Arial" w:hAnsi="Arial" w:cs="Arial"/>
          <w:sz w:val="20"/>
          <w:szCs w:val="20"/>
        </w:rPr>
      </w:pPr>
      <w:r w:rsidRPr="009D1C0E">
        <w:rPr>
          <w:rFonts w:ascii="Arial" w:hAnsi="Arial" w:cs="Arial"/>
          <w:sz w:val="20"/>
          <w:szCs w:val="20"/>
        </w:rPr>
        <w:t>Pregnancy</w:t>
      </w:r>
    </w:p>
    <w:p w14:paraId="38AD4681" w14:textId="77777777" w:rsidR="009D1C0E" w:rsidRPr="009D1C0E" w:rsidRDefault="009D1C0E" w:rsidP="009D1C0E">
      <w:pPr>
        <w:autoSpaceDE w:val="0"/>
        <w:autoSpaceDN w:val="0"/>
        <w:adjustRightInd w:val="0"/>
        <w:spacing w:after="0" w:line="240" w:lineRule="auto"/>
        <w:rPr>
          <w:rFonts w:ascii="Arial" w:hAnsi="Arial" w:cs="Arial"/>
          <w:sz w:val="20"/>
          <w:szCs w:val="20"/>
        </w:rPr>
      </w:pPr>
    </w:p>
    <w:p w14:paraId="6A7697E8" w14:textId="77777777" w:rsidR="009D1C0E" w:rsidRPr="009D1C0E" w:rsidRDefault="009D1C0E" w:rsidP="009D1C0E">
      <w:pPr>
        <w:spacing w:after="0"/>
        <w:rPr>
          <w:rFonts w:ascii="Arial" w:hAnsi="Arial" w:cs="Arial"/>
          <w:b/>
          <w:bCs/>
          <w:sz w:val="20"/>
          <w:szCs w:val="20"/>
          <w:u w:val="single"/>
        </w:rPr>
      </w:pPr>
      <w:r w:rsidRPr="009D1C0E">
        <w:rPr>
          <w:rFonts w:ascii="Arial" w:hAnsi="Arial" w:cs="Arial"/>
          <w:b/>
          <w:bCs/>
          <w:sz w:val="20"/>
          <w:szCs w:val="20"/>
          <w:u w:val="single"/>
        </w:rPr>
        <w:t>Cautions:</w:t>
      </w:r>
    </w:p>
    <w:p w14:paraId="62AE7F56" w14:textId="77777777" w:rsidR="009D1C0E" w:rsidRPr="009D1C0E" w:rsidRDefault="009D1C0E" w:rsidP="009D1C0E">
      <w:pPr>
        <w:numPr>
          <w:ilvl w:val="0"/>
          <w:numId w:val="11"/>
        </w:numPr>
        <w:spacing w:after="0"/>
        <w:rPr>
          <w:rFonts w:ascii="Arial" w:hAnsi="Arial" w:cs="Arial"/>
          <w:sz w:val="20"/>
          <w:szCs w:val="20"/>
        </w:rPr>
      </w:pPr>
      <w:r w:rsidRPr="009D1C0E">
        <w:rPr>
          <w:rFonts w:ascii="Arial" w:hAnsi="Arial" w:cs="Arial"/>
          <w:sz w:val="20"/>
          <w:szCs w:val="20"/>
        </w:rPr>
        <w:t>History of cardiovascular disease or renal impairment (dose adjustment may be required)</w:t>
      </w:r>
    </w:p>
    <w:p w14:paraId="5B580133" w14:textId="77777777" w:rsidR="009D1C0E" w:rsidRPr="009D1C0E" w:rsidRDefault="009D1C0E" w:rsidP="009D1C0E">
      <w:pPr>
        <w:numPr>
          <w:ilvl w:val="0"/>
          <w:numId w:val="11"/>
        </w:numPr>
        <w:spacing w:after="0"/>
        <w:rPr>
          <w:rFonts w:ascii="Arial" w:hAnsi="Arial" w:cs="Arial"/>
          <w:sz w:val="20"/>
          <w:szCs w:val="20"/>
        </w:rPr>
      </w:pPr>
      <w:r w:rsidRPr="009D1C0E">
        <w:rPr>
          <w:rFonts w:ascii="Arial" w:hAnsi="Arial" w:cs="Arial"/>
          <w:sz w:val="20"/>
          <w:szCs w:val="20"/>
        </w:rPr>
        <w:t>History of malignancy</w:t>
      </w:r>
    </w:p>
    <w:p w14:paraId="5A32DE23" w14:textId="77777777" w:rsidR="009D1C0E" w:rsidRPr="009D1C0E" w:rsidRDefault="009D1C0E" w:rsidP="009D1C0E">
      <w:pPr>
        <w:numPr>
          <w:ilvl w:val="0"/>
          <w:numId w:val="11"/>
        </w:numPr>
        <w:spacing w:after="0"/>
        <w:rPr>
          <w:rFonts w:ascii="Arial" w:hAnsi="Arial" w:cs="Arial"/>
          <w:sz w:val="20"/>
          <w:szCs w:val="20"/>
        </w:rPr>
      </w:pPr>
      <w:r w:rsidRPr="009D1C0E">
        <w:rPr>
          <w:rFonts w:ascii="Arial" w:hAnsi="Arial" w:cs="Arial"/>
          <w:sz w:val="20"/>
          <w:szCs w:val="20"/>
        </w:rPr>
        <w:t>Chronic hepatitis B infection</w:t>
      </w:r>
    </w:p>
    <w:p w14:paraId="6C80D208" w14:textId="77777777" w:rsidR="009D1C0E" w:rsidRPr="009D1C0E" w:rsidRDefault="009D1C0E" w:rsidP="009D1C0E">
      <w:pPr>
        <w:numPr>
          <w:ilvl w:val="0"/>
          <w:numId w:val="11"/>
        </w:numPr>
        <w:spacing w:after="0"/>
        <w:rPr>
          <w:rFonts w:ascii="Arial" w:hAnsi="Arial" w:cs="Arial"/>
          <w:sz w:val="20"/>
          <w:szCs w:val="20"/>
        </w:rPr>
      </w:pPr>
      <w:r w:rsidRPr="009D1C0E">
        <w:rPr>
          <w:rFonts w:ascii="Arial" w:hAnsi="Arial" w:cs="Arial"/>
          <w:sz w:val="20"/>
          <w:szCs w:val="20"/>
        </w:rPr>
        <w:t>Heart failure</w:t>
      </w:r>
    </w:p>
    <w:p w14:paraId="25067DA3" w14:textId="77777777" w:rsidR="009D1C0E" w:rsidRPr="009D1C0E" w:rsidRDefault="009D1C0E" w:rsidP="009D1C0E">
      <w:pPr>
        <w:numPr>
          <w:ilvl w:val="0"/>
          <w:numId w:val="11"/>
        </w:numPr>
        <w:spacing w:after="0"/>
        <w:rPr>
          <w:rFonts w:ascii="Arial" w:hAnsi="Arial" w:cs="Arial"/>
          <w:sz w:val="20"/>
          <w:szCs w:val="20"/>
        </w:rPr>
      </w:pPr>
      <w:r w:rsidRPr="009D1C0E">
        <w:rPr>
          <w:rFonts w:ascii="Arial" w:hAnsi="Arial" w:cs="Arial"/>
          <w:sz w:val="20"/>
          <w:szCs w:val="20"/>
        </w:rPr>
        <w:t>Severe needle phobia and potential vascular access problems</w:t>
      </w:r>
    </w:p>
    <w:p w14:paraId="050E8C18" w14:textId="77777777" w:rsidR="009D1C0E" w:rsidRPr="009D1C0E" w:rsidRDefault="009D1C0E" w:rsidP="000D11E6">
      <w:pPr>
        <w:spacing w:after="0"/>
        <w:rPr>
          <w:rFonts w:ascii="Arial" w:hAnsi="Arial" w:cs="Arial"/>
          <w:b/>
          <w:bCs/>
          <w:sz w:val="20"/>
          <w:szCs w:val="20"/>
          <w:u w:val="single"/>
        </w:rPr>
      </w:pPr>
    </w:p>
    <w:p w14:paraId="1A2118D6" w14:textId="77777777" w:rsidR="00D00143" w:rsidRPr="009D1C0E" w:rsidRDefault="00D00143" w:rsidP="000D11E6">
      <w:pPr>
        <w:spacing w:after="0"/>
        <w:rPr>
          <w:rFonts w:ascii="Arial" w:hAnsi="Arial" w:cs="Arial"/>
          <w:b/>
          <w:bCs/>
          <w:sz w:val="20"/>
          <w:szCs w:val="20"/>
          <w:u w:val="single"/>
        </w:rPr>
      </w:pPr>
      <w:r w:rsidRPr="009D1C0E">
        <w:rPr>
          <w:rFonts w:ascii="Arial" w:hAnsi="Arial" w:cs="Arial"/>
          <w:b/>
          <w:bCs/>
          <w:sz w:val="20"/>
          <w:szCs w:val="20"/>
          <w:u w:val="single"/>
        </w:rPr>
        <w:t>Pre-assessment considerations:</w:t>
      </w:r>
    </w:p>
    <w:p w14:paraId="02C2925A" w14:textId="77777777" w:rsidR="000D11E6" w:rsidRPr="009D1C0E" w:rsidRDefault="000D11E6" w:rsidP="000D11E6">
      <w:pPr>
        <w:numPr>
          <w:ilvl w:val="0"/>
          <w:numId w:val="12"/>
        </w:numPr>
        <w:autoSpaceDE w:val="0"/>
        <w:autoSpaceDN w:val="0"/>
        <w:adjustRightInd w:val="0"/>
        <w:spacing w:after="0" w:line="240" w:lineRule="auto"/>
        <w:rPr>
          <w:rFonts w:ascii="Arial" w:hAnsi="Arial" w:cs="Arial"/>
          <w:sz w:val="20"/>
          <w:szCs w:val="20"/>
        </w:rPr>
      </w:pPr>
      <w:r w:rsidRPr="009D1C0E">
        <w:rPr>
          <w:rFonts w:ascii="Arial" w:hAnsi="Arial" w:cs="Arial"/>
          <w:sz w:val="20"/>
          <w:szCs w:val="20"/>
        </w:rPr>
        <w:t>Full clinical history</w:t>
      </w:r>
    </w:p>
    <w:p w14:paraId="7D753A8B" w14:textId="77777777" w:rsidR="000D11E6" w:rsidRPr="009D1C0E" w:rsidRDefault="000D11E6" w:rsidP="000D11E6">
      <w:pPr>
        <w:numPr>
          <w:ilvl w:val="0"/>
          <w:numId w:val="12"/>
        </w:numPr>
        <w:autoSpaceDE w:val="0"/>
        <w:autoSpaceDN w:val="0"/>
        <w:adjustRightInd w:val="0"/>
        <w:spacing w:after="0" w:line="240" w:lineRule="auto"/>
        <w:rPr>
          <w:rFonts w:ascii="Arial" w:hAnsi="Arial" w:cs="Arial"/>
          <w:sz w:val="20"/>
          <w:szCs w:val="20"/>
        </w:rPr>
      </w:pPr>
      <w:r w:rsidRPr="009D1C0E">
        <w:rPr>
          <w:rFonts w:ascii="Arial" w:hAnsi="Arial" w:cs="Arial"/>
          <w:sz w:val="20"/>
          <w:szCs w:val="20"/>
        </w:rPr>
        <w:t xml:space="preserve">Height, weight, </w:t>
      </w:r>
      <w:r w:rsidR="009D1C0E">
        <w:rPr>
          <w:rFonts w:ascii="Arial" w:hAnsi="Arial" w:cs="Arial"/>
          <w:sz w:val="20"/>
          <w:szCs w:val="20"/>
        </w:rPr>
        <w:t xml:space="preserve">body surface area, </w:t>
      </w:r>
      <w:r w:rsidRPr="009D1C0E">
        <w:rPr>
          <w:rFonts w:ascii="Arial" w:hAnsi="Arial" w:cs="Arial"/>
          <w:sz w:val="20"/>
          <w:szCs w:val="20"/>
        </w:rPr>
        <w:t>pubertal status</w:t>
      </w:r>
    </w:p>
    <w:p w14:paraId="1553DB04" w14:textId="66A7AC92" w:rsidR="000D11E6" w:rsidRDefault="000D11E6" w:rsidP="000D11E6">
      <w:pPr>
        <w:numPr>
          <w:ilvl w:val="0"/>
          <w:numId w:val="12"/>
        </w:numPr>
        <w:autoSpaceDE w:val="0"/>
        <w:autoSpaceDN w:val="0"/>
        <w:adjustRightInd w:val="0"/>
        <w:spacing w:after="0" w:line="240" w:lineRule="auto"/>
        <w:rPr>
          <w:rFonts w:ascii="Arial" w:hAnsi="Arial" w:cs="Arial"/>
          <w:sz w:val="20"/>
          <w:szCs w:val="20"/>
        </w:rPr>
      </w:pPr>
      <w:r w:rsidRPr="7E60B656">
        <w:rPr>
          <w:rFonts w:ascii="Arial" w:hAnsi="Arial" w:cs="Arial"/>
          <w:sz w:val="20"/>
          <w:szCs w:val="20"/>
        </w:rPr>
        <w:t>Immunisation history – Consider del</w:t>
      </w:r>
      <w:r w:rsidR="002E3D7C">
        <w:rPr>
          <w:rFonts w:ascii="Arial" w:hAnsi="Arial" w:cs="Arial"/>
          <w:sz w:val="20"/>
          <w:szCs w:val="20"/>
        </w:rPr>
        <w:t>a</w:t>
      </w:r>
      <w:r w:rsidRPr="7E60B656">
        <w:rPr>
          <w:rFonts w:ascii="Arial" w:hAnsi="Arial" w:cs="Arial"/>
          <w:sz w:val="20"/>
          <w:szCs w:val="20"/>
        </w:rPr>
        <w:t xml:space="preserve">ying infusion until </w:t>
      </w:r>
      <w:r w:rsidR="002E3D7C">
        <w:rPr>
          <w:rFonts w:ascii="Arial" w:hAnsi="Arial" w:cs="Arial"/>
          <w:sz w:val="20"/>
          <w:szCs w:val="20"/>
        </w:rPr>
        <w:t>4 weeks</w:t>
      </w:r>
      <w:r w:rsidRPr="7E60B656">
        <w:rPr>
          <w:rFonts w:ascii="Arial" w:hAnsi="Arial" w:cs="Arial"/>
          <w:sz w:val="20"/>
          <w:szCs w:val="20"/>
        </w:rPr>
        <w:t xml:space="preserve"> post administration of live vaccination</w:t>
      </w:r>
      <w:r w:rsidR="002E3D7C">
        <w:rPr>
          <w:rFonts w:ascii="Arial" w:hAnsi="Arial" w:cs="Arial"/>
          <w:sz w:val="20"/>
          <w:szCs w:val="20"/>
        </w:rPr>
        <w:t xml:space="preserve">s as per green book guidance: </w:t>
      </w:r>
      <w:hyperlink r:id="rId10" w:history="1">
        <w:r w:rsidR="002E3D7C">
          <w:rPr>
            <w:rStyle w:val="Hyperlink"/>
          </w:rPr>
          <w:t>Greenbook_chapter_6.pdf (publishing.service.gov.uk)</w:t>
        </w:r>
      </w:hyperlink>
    </w:p>
    <w:p w14:paraId="568E35A4" w14:textId="4DBF3DB1" w:rsidR="002E3D7C" w:rsidRPr="009D1C0E" w:rsidRDefault="002E3D7C" w:rsidP="000D11E6">
      <w:pPr>
        <w:numPr>
          <w:ilvl w:val="0"/>
          <w:numId w:val="12"/>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Consider COVID-19 vaccination status as per BSR guidance available at following link </w:t>
      </w:r>
      <w:hyperlink r:id="rId11" w:history="1">
        <w:r>
          <w:rPr>
            <w:rStyle w:val="Hyperlink"/>
          </w:rPr>
          <w:t>COVID-19 guidance | British Society for Rheumatology</w:t>
        </w:r>
      </w:hyperlink>
    </w:p>
    <w:p w14:paraId="4D05DDE0" w14:textId="77777777" w:rsidR="000D11E6" w:rsidRDefault="000D11E6" w:rsidP="000D11E6">
      <w:pPr>
        <w:numPr>
          <w:ilvl w:val="0"/>
          <w:numId w:val="12"/>
        </w:numPr>
        <w:autoSpaceDE w:val="0"/>
        <w:autoSpaceDN w:val="0"/>
        <w:adjustRightInd w:val="0"/>
        <w:spacing w:after="0" w:line="240" w:lineRule="auto"/>
        <w:rPr>
          <w:rFonts w:ascii="Arial" w:hAnsi="Arial" w:cs="Arial"/>
          <w:sz w:val="20"/>
          <w:szCs w:val="20"/>
        </w:rPr>
      </w:pPr>
      <w:r w:rsidRPr="009D1C0E">
        <w:rPr>
          <w:rFonts w:ascii="Arial" w:hAnsi="Arial" w:cs="Arial"/>
          <w:sz w:val="20"/>
          <w:szCs w:val="20"/>
        </w:rPr>
        <w:t xml:space="preserve">Bloods including FBC, </w:t>
      </w:r>
      <w:r w:rsidR="009D1C0E">
        <w:rPr>
          <w:rFonts w:ascii="Arial" w:hAnsi="Arial" w:cs="Arial"/>
          <w:sz w:val="20"/>
          <w:szCs w:val="20"/>
        </w:rPr>
        <w:t>ESR, U&amp;E, LFT, creatinine, CRP.</w:t>
      </w:r>
    </w:p>
    <w:p w14:paraId="751DC7C4" w14:textId="77777777" w:rsidR="009D1C0E" w:rsidRDefault="009D1C0E" w:rsidP="000D11E6">
      <w:pPr>
        <w:numPr>
          <w:ilvl w:val="0"/>
          <w:numId w:val="12"/>
        </w:numPr>
        <w:autoSpaceDE w:val="0"/>
        <w:autoSpaceDN w:val="0"/>
        <w:adjustRightInd w:val="0"/>
        <w:spacing w:after="0" w:line="240" w:lineRule="auto"/>
        <w:rPr>
          <w:rFonts w:ascii="Arial" w:hAnsi="Arial" w:cs="Arial"/>
          <w:sz w:val="20"/>
          <w:szCs w:val="20"/>
        </w:rPr>
      </w:pPr>
      <w:r>
        <w:rPr>
          <w:rFonts w:ascii="Arial" w:hAnsi="Arial" w:cs="Arial"/>
          <w:sz w:val="20"/>
          <w:szCs w:val="20"/>
        </w:rPr>
        <w:t>Lymphocyte subsets (CD19/CD20)</w:t>
      </w:r>
    </w:p>
    <w:p w14:paraId="1285B1E7" w14:textId="77777777" w:rsidR="009D1C0E" w:rsidRDefault="009D1C0E" w:rsidP="000D11E6">
      <w:pPr>
        <w:numPr>
          <w:ilvl w:val="0"/>
          <w:numId w:val="12"/>
        </w:numPr>
        <w:autoSpaceDE w:val="0"/>
        <w:autoSpaceDN w:val="0"/>
        <w:adjustRightInd w:val="0"/>
        <w:spacing w:after="0" w:line="240" w:lineRule="auto"/>
        <w:rPr>
          <w:rFonts w:ascii="Arial" w:hAnsi="Arial" w:cs="Arial"/>
          <w:sz w:val="20"/>
          <w:szCs w:val="20"/>
        </w:rPr>
      </w:pPr>
      <w:r>
        <w:rPr>
          <w:rFonts w:ascii="Arial" w:hAnsi="Arial" w:cs="Arial"/>
          <w:sz w:val="20"/>
          <w:szCs w:val="20"/>
        </w:rPr>
        <w:t>Immunoglobulins</w:t>
      </w:r>
    </w:p>
    <w:p w14:paraId="2E069C99" w14:textId="77777777" w:rsidR="009D1C0E" w:rsidRDefault="009D1C0E" w:rsidP="000D11E6">
      <w:pPr>
        <w:numPr>
          <w:ilvl w:val="0"/>
          <w:numId w:val="12"/>
        </w:numPr>
        <w:autoSpaceDE w:val="0"/>
        <w:autoSpaceDN w:val="0"/>
        <w:adjustRightInd w:val="0"/>
        <w:spacing w:after="0" w:line="240" w:lineRule="auto"/>
        <w:rPr>
          <w:rFonts w:ascii="Arial" w:hAnsi="Arial" w:cs="Arial"/>
          <w:sz w:val="20"/>
          <w:szCs w:val="20"/>
        </w:rPr>
      </w:pPr>
      <w:r>
        <w:rPr>
          <w:rFonts w:ascii="Arial" w:hAnsi="Arial" w:cs="Arial"/>
          <w:sz w:val="20"/>
          <w:szCs w:val="20"/>
        </w:rPr>
        <w:t>Disease specific antibodies:</w:t>
      </w:r>
    </w:p>
    <w:p w14:paraId="4EB25D77" w14:textId="77777777" w:rsidR="009D1C0E" w:rsidRDefault="009D1C0E" w:rsidP="009D1C0E">
      <w:pPr>
        <w:autoSpaceDE w:val="0"/>
        <w:autoSpaceDN w:val="0"/>
        <w:adjustRightInd w:val="0"/>
        <w:spacing w:after="0" w:line="240" w:lineRule="auto"/>
        <w:ind w:left="720"/>
      </w:pPr>
      <w:r>
        <w:lastRenderedPageBreak/>
        <w:t xml:space="preserve"> Antinuclear antibodies (ANA) and dsDNA in JSLE </w:t>
      </w:r>
    </w:p>
    <w:p w14:paraId="2BB88DCD" w14:textId="77777777" w:rsidR="009D1C0E" w:rsidRDefault="009D1C0E" w:rsidP="009D1C0E">
      <w:pPr>
        <w:autoSpaceDE w:val="0"/>
        <w:autoSpaceDN w:val="0"/>
        <w:adjustRightInd w:val="0"/>
        <w:spacing w:after="0" w:line="240" w:lineRule="auto"/>
        <w:ind w:left="720"/>
      </w:pPr>
      <w:r>
        <w:t xml:space="preserve"> RF and cyclic citrullinated peptide (CCP) in JIA </w:t>
      </w:r>
    </w:p>
    <w:p w14:paraId="6224B6B4" w14:textId="77777777" w:rsidR="009D1C0E" w:rsidRDefault="009D1C0E" w:rsidP="009D1C0E">
      <w:pPr>
        <w:autoSpaceDE w:val="0"/>
        <w:autoSpaceDN w:val="0"/>
        <w:adjustRightInd w:val="0"/>
        <w:spacing w:after="0" w:line="240" w:lineRule="auto"/>
        <w:ind w:left="720"/>
      </w:pPr>
      <w:r>
        <w:t xml:space="preserve"> Myeloperoxidase (MPO) and proteinase 3 ANCA (PR3 ANCA) in ANCA positive vasculitis</w:t>
      </w:r>
    </w:p>
    <w:p w14:paraId="3582114D" w14:textId="77777777" w:rsidR="009D1C0E" w:rsidRPr="009D1C0E" w:rsidRDefault="009D1C0E" w:rsidP="009D1C0E">
      <w:pPr>
        <w:autoSpaceDE w:val="0"/>
        <w:autoSpaceDN w:val="0"/>
        <w:adjustRightInd w:val="0"/>
        <w:spacing w:after="0" w:line="240" w:lineRule="auto"/>
        <w:ind w:left="720"/>
        <w:rPr>
          <w:rFonts w:ascii="Arial" w:hAnsi="Arial" w:cs="Arial"/>
          <w:sz w:val="20"/>
          <w:szCs w:val="20"/>
        </w:rPr>
      </w:pPr>
      <w:r>
        <w:t xml:space="preserve"> Myositis specific antibodies in JDM</w:t>
      </w:r>
    </w:p>
    <w:p w14:paraId="59DE7EC1" w14:textId="77777777" w:rsidR="000D11E6" w:rsidRPr="00502F94" w:rsidRDefault="000D11E6" w:rsidP="000D11E6">
      <w:pPr>
        <w:numPr>
          <w:ilvl w:val="0"/>
          <w:numId w:val="12"/>
        </w:numPr>
        <w:autoSpaceDE w:val="0"/>
        <w:autoSpaceDN w:val="0"/>
        <w:adjustRightInd w:val="0"/>
        <w:spacing w:after="0" w:line="240" w:lineRule="auto"/>
        <w:rPr>
          <w:rFonts w:ascii="Arial" w:hAnsi="Arial" w:cs="Arial"/>
          <w:sz w:val="20"/>
          <w:szCs w:val="20"/>
        </w:rPr>
      </w:pPr>
      <w:r w:rsidRPr="00502F94">
        <w:rPr>
          <w:rFonts w:ascii="Arial" w:hAnsi="Arial" w:cs="Arial"/>
          <w:sz w:val="20"/>
          <w:szCs w:val="20"/>
        </w:rPr>
        <w:t>Varicella Zoster serology, hepatitis B and C status, HIV status, EBV and CMV IgG should be checked if not done previously and only repeated if thought to be clinically relevant.</w:t>
      </w:r>
    </w:p>
    <w:p w14:paraId="47B18C67" w14:textId="77777777" w:rsidR="000D11E6" w:rsidRPr="009D1C0E" w:rsidRDefault="000D11E6" w:rsidP="000D11E6">
      <w:pPr>
        <w:numPr>
          <w:ilvl w:val="0"/>
          <w:numId w:val="12"/>
        </w:numPr>
        <w:autoSpaceDE w:val="0"/>
        <w:autoSpaceDN w:val="0"/>
        <w:adjustRightInd w:val="0"/>
        <w:spacing w:after="0" w:line="240" w:lineRule="auto"/>
        <w:rPr>
          <w:rFonts w:ascii="Arial" w:hAnsi="Arial" w:cs="Arial"/>
          <w:sz w:val="20"/>
          <w:szCs w:val="20"/>
        </w:rPr>
      </w:pPr>
      <w:r w:rsidRPr="009D1C0E">
        <w:rPr>
          <w:rFonts w:ascii="Arial" w:hAnsi="Arial" w:cs="Arial"/>
          <w:sz w:val="20"/>
          <w:szCs w:val="20"/>
        </w:rPr>
        <w:t xml:space="preserve">Chest X-ray: </w:t>
      </w:r>
      <w:r w:rsidRPr="009D1C0E">
        <w:rPr>
          <w:rFonts w:ascii="Arial" w:hAnsi="Arial" w:cs="Arial"/>
          <w:sz w:val="20"/>
          <w:szCs w:val="20"/>
          <w:shd w:val="clear" w:color="auto" w:fill="FFFFFF"/>
        </w:rPr>
        <w:t xml:space="preserve">To be performed and resulted prior to commencing if not performed in the last 3 months and </w:t>
      </w:r>
      <w:r w:rsidR="009F677F">
        <w:rPr>
          <w:rFonts w:ascii="Arial" w:hAnsi="Arial" w:cs="Arial"/>
          <w:sz w:val="20"/>
          <w:szCs w:val="20"/>
          <w:shd w:val="clear" w:color="auto" w:fill="FFFFFF"/>
        </w:rPr>
        <w:t>i</w:t>
      </w:r>
      <w:r w:rsidRPr="009D1C0E">
        <w:rPr>
          <w:rFonts w:ascii="Arial" w:hAnsi="Arial" w:cs="Arial"/>
          <w:sz w:val="20"/>
          <w:szCs w:val="20"/>
          <w:shd w:val="clear" w:color="auto" w:fill="FFFFFF"/>
        </w:rPr>
        <w:t>f no relevant symptoms have developed in the interim.</w:t>
      </w:r>
    </w:p>
    <w:p w14:paraId="0164208A" w14:textId="77777777" w:rsidR="000D11E6" w:rsidRPr="009D1C0E" w:rsidRDefault="000D11E6" w:rsidP="000D11E6">
      <w:pPr>
        <w:numPr>
          <w:ilvl w:val="0"/>
          <w:numId w:val="12"/>
        </w:numPr>
        <w:autoSpaceDE w:val="0"/>
        <w:autoSpaceDN w:val="0"/>
        <w:adjustRightInd w:val="0"/>
        <w:spacing w:after="0" w:line="240" w:lineRule="auto"/>
        <w:rPr>
          <w:rFonts w:ascii="Arial" w:hAnsi="Arial" w:cs="Arial"/>
          <w:sz w:val="20"/>
          <w:szCs w:val="20"/>
        </w:rPr>
      </w:pPr>
      <w:r w:rsidRPr="009D1C0E">
        <w:rPr>
          <w:rFonts w:ascii="Arial" w:hAnsi="Arial" w:cs="Arial"/>
          <w:sz w:val="20"/>
          <w:szCs w:val="20"/>
        </w:rPr>
        <w:t xml:space="preserve">Pregnancy test for all females over 12 years of age who have reached menarche. </w:t>
      </w:r>
    </w:p>
    <w:p w14:paraId="79410ECB" w14:textId="77777777" w:rsidR="000D11E6" w:rsidRPr="009D1C0E" w:rsidRDefault="000D11E6" w:rsidP="000D11E6">
      <w:pPr>
        <w:numPr>
          <w:ilvl w:val="0"/>
          <w:numId w:val="12"/>
        </w:numPr>
        <w:autoSpaceDE w:val="0"/>
        <w:autoSpaceDN w:val="0"/>
        <w:adjustRightInd w:val="0"/>
        <w:spacing w:after="0" w:line="240" w:lineRule="auto"/>
        <w:rPr>
          <w:rFonts w:ascii="Arial" w:hAnsi="Arial" w:cs="Arial"/>
          <w:sz w:val="20"/>
          <w:szCs w:val="20"/>
        </w:rPr>
      </w:pPr>
      <w:r w:rsidRPr="009D1C0E">
        <w:rPr>
          <w:rFonts w:ascii="Arial" w:hAnsi="Arial" w:cs="Arial"/>
          <w:sz w:val="20"/>
          <w:szCs w:val="20"/>
        </w:rPr>
        <w:t>Patient information to be given and discussed with the patient and carers</w:t>
      </w:r>
    </w:p>
    <w:p w14:paraId="4FE17895" w14:textId="77777777" w:rsidR="00D00143" w:rsidRPr="000C4A06" w:rsidRDefault="00D00143" w:rsidP="009F677F">
      <w:pPr>
        <w:pStyle w:val="NoSpacing"/>
      </w:pPr>
    </w:p>
    <w:p w14:paraId="17DBD4A8" w14:textId="77777777" w:rsidR="009F677F" w:rsidRPr="009F677F" w:rsidRDefault="009F677F" w:rsidP="009F677F">
      <w:pPr>
        <w:pStyle w:val="NoSpacing"/>
        <w:rPr>
          <w:b/>
          <w:u w:val="single"/>
        </w:rPr>
      </w:pPr>
      <w:r w:rsidRPr="009F677F">
        <w:rPr>
          <w:b/>
          <w:u w:val="single"/>
        </w:rPr>
        <w:t xml:space="preserve">Dosage </w:t>
      </w:r>
    </w:p>
    <w:p w14:paraId="30307CE1" w14:textId="77777777" w:rsidR="002E3D7C" w:rsidRDefault="009F677F" w:rsidP="009F677F">
      <w:pPr>
        <w:pStyle w:val="NoSpacing"/>
      </w:pPr>
      <w:r>
        <w:t>Rituximab is administered as an intravenous (IV) infusion</w:t>
      </w:r>
      <w:r w:rsidR="002E3D7C">
        <w:t>.  Dose and frequency may vary according to underlying clinical condition and clinician’s discretion.</w:t>
      </w:r>
    </w:p>
    <w:p w14:paraId="21EBD165" w14:textId="77777777" w:rsidR="002E3D7C" w:rsidRDefault="002E3D7C" w:rsidP="009F677F">
      <w:pPr>
        <w:pStyle w:val="NoSpacing"/>
      </w:pPr>
      <w:r>
        <w:t xml:space="preserve">Options include </w:t>
      </w:r>
      <w:r w:rsidR="009F677F">
        <w:t>a dose of 750mg/m2 (maximum dose 1000mg)</w:t>
      </w:r>
      <w:r>
        <w:t xml:space="preserve"> 2 weeks apart</w:t>
      </w:r>
      <w:r w:rsidR="009F677F">
        <w:t>.</w:t>
      </w:r>
    </w:p>
    <w:p w14:paraId="49075F78" w14:textId="77777777" w:rsidR="002E3D7C" w:rsidRDefault="002E3D7C" w:rsidP="009F677F">
      <w:pPr>
        <w:pStyle w:val="NoSpacing"/>
      </w:pPr>
      <w:r>
        <w:t>It may also be given at 375mg/m2 weekly for 4 weeks.</w:t>
      </w:r>
    </w:p>
    <w:p w14:paraId="6779F36A" w14:textId="0A67ECDD" w:rsidR="009F677F" w:rsidRDefault="002E3D7C" w:rsidP="009F677F">
      <w:pPr>
        <w:pStyle w:val="NoSpacing"/>
      </w:pPr>
      <w:r>
        <w:t>It can then be given as a single dose 6-monthly thereafter, again dose may differ according to clinical situation and clinician’s discretion.</w:t>
      </w:r>
    </w:p>
    <w:p w14:paraId="4C7C272A" w14:textId="77777777" w:rsidR="009F677F" w:rsidRDefault="009F677F" w:rsidP="009F677F">
      <w:pPr>
        <w:pStyle w:val="NoSpacing"/>
      </w:pPr>
    </w:p>
    <w:p w14:paraId="51F7412F" w14:textId="77777777" w:rsidR="009F677F" w:rsidRPr="009F677F" w:rsidRDefault="009F677F" w:rsidP="009F677F">
      <w:pPr>
        <w:pStyle w:val="NoSpacing"/>
        <w:rPr>
          <w:b/>
          <w:u w:val="single"/>
        </w:rPr>
      </w:pPr>
      <w:r w:rsidRPr="009F677F">
        <w:rPr>
          <w:b/>
          <w:u w:val="single"/>
        </w:rPr>
        <w:t xml:space="preserve">Premedication </w:t>
      </w:r>
    </w:p>
    <w:p w14:paraId="158C9A7E" w14:textId="6B84A759" w:rsidR="009F677F" w:rsidRDefault="009F677F" w:rsidP="009F677F">
      <w:pPr>
        <w:pStyle w:val="NoSpacing"/>
      </w:pPr>
      <w:r>
        <w:t xml:space="preserve">All patients will receive premedication with chlorphenamine and paracetamol, administered 60 minutes prior to infusion commencing. Methylprednisolone </w:t>
      </w:r>
      <w:r w:rsidR="002E3D7C">
        <w:t>IV infusion is</w:t>
      </w:r>
      <w:r>
        <w:t xml:space="preserve"> administered immediately prior to the rituximab infusion. </w:t>
      </w:r>
    </w:p>
    <w:p w14:paraId="4E0F9543" w14:textId="77777777" w:rsidR="009F677F" w:rsidRDefault="009F677F" w:rsidP="009F677F">
      <w:pPr>
        <w:pStyle w:val="NoSpacing"/>
      </w:pPr>
    </w:p>
    <w:p w14:paraId="46DDFBBD" w14:textId="77777777" w:rsidR="009F677F" w:rsidRDefault="009F677F" w:rsidP="009F677F">
      <w:pPr>
        <w:pStyle w:val="NoSpacing"/>
      </w:pPr>
      <w:r>
        <w:t xml:space="preserve">Paracetamol and chlorphenamine oral dosing as per BNFC. </w:t>
      </w:r>
    </w:p>
    <w:p w14:paraId="4D0F57AD" w14:textId="77777777" w:rsidR="009F677F" w:rsidRDefault="009F677F" w:rsidP="009F677F">
      <w:pPr>
        <w:pStyle w:val="NoSpacing"/>
      </w:pPr>
    </w:p>
    <w:p w14:paraId="60A375C4" w14:textId="77777777" w:rsidR="009F677F" w:rsidRDefault="009F677F" w:rsidP="009F677F">
      <w:pPr>
        <w:pStyle w:val="NoSpacing"/>
      </w:pPr>
      <w:r>
        <w:t xml:space="preserve">Methylprednisolone IV injection dosing: </w:t>
      </w:r>
    </w:p>
    <w:p w14:paraId="79E9CBF2" w14:textId="77777777" w:rsidR="009F677F" w:rsidRDefault="009F677F" w:rsidP="00B6751E">
      <w:pPr>
        <w:pStyle w:val="NoSpacing"/>
        <w:ind w:left="1440"/>
      </w:pPr>
      <w:r>
        <w:t xml:space="preserve">Children aged 1 - 5 years 50mg </w:t>
      </w:r>
    </w:p>
    <w:p w14:paraId="19420AC3" w14:textId="77777777" w:rsidR="009F677F" w:rsidRDefault="009F677F" w:rsidP="00B6751E">
      <w:pPr>
        <w:pStyle w:val="NoSpacing"/>
        <w:ind w:left="1440"/>
      </w:pPr>
      <w:r>
        <w:t>Children 6 years and over 100mg</w:t>
      </w:r>
    </w:p>
    <w:p w14:paraId="15A39A75" w14:textId="77777777" w:rsidR="009F677F" w:rsidRDefault="009F677F" w:rsidP="000D11E6"/>
    <w:p w14:paraId="40693626" w14:textId="77777777" w:rsidR="000D11E6" w:rsidRPr="000C4A06" w:rsidRDefault="000D11E6" w:rsidP="000D11E6">
      <w:pPr>
        <w:rPr>
          <w:rFonts w:ascii="Arial" w:hAnsi="Arial" w:cs="Arial"/>
          <w:b/>
          <w:sz w:val="20"/>
          <w:szCs w:val="20"/>
          <w:u w:val="single"/>
        </w:rPr>
      </w:pPr>
      <w:r w:rsidRPr="000C4A06">
        <w:rPr>
          <w:rFonts w:ascii="Arial" w:hAnsi="Arial" w:cs="Arial"/>
          <w:b/>
          <w:sz w:val="20"/>
          <w:szCs w:val="20"/>
          <w:u w:val="single"/>
        </w:rPr>
        <w:t>Monitoring Prior to Infusion</w:t>
      </w:r>
    </w:p>
    <w:p w14:paraId="1F4F19C3" w14:textId="77777777" w:rsidR="000D11E6" w:rsidRPr="000C4A06" w:rsidRDefault="000D11E6" w:rsidP="000D11E6">
      <w:pPr>
        <w:rPr>
          <w:rFonts w:ascii="Arial" w:hAnsi="Arial" w:cs="Arial"/>
          <w:sz w:val="20"/>
          <w:szCs w:val="20"/>
        </w:rPr>
      </w:pPr>
      <w:r w:rsidRPr="000C4A06">
        <w:rPr>
          <w:rFonts w:ascii="Arial" w:hAnsi="Arial" w:cs="Arial"/>
          <w:sz w:val="20"/>
          <w:szCs w:val="20"/>
        </w:rPr>
        <w:t>Ensure the following is complete before commencing the infusion:</w:t>
      </w:r>
    </w:p>
    <w:p w14:paraId="389C0C08" w14:textId="77777777" w:rsidR="000D11E6" w:rsidRPr="000C4A06" w:rsidRDefault="000D11E6" w:rsidP="000D11E6">
      <w:pPr>
        <w:numPr>
          <w:ilvl w:val="0"/>
          <w:numId w:val="14"/>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 xml:space="preserve">Pregnancy test for all females over 12 years of age who have reached menarche. </w:t>
      </w:r>
    </w:p>
    <w:p w14:paraId="55865F9A" w14:textId="77777777" w:rsidR="000D11E6" w:rsidRPr="000C4A06" w:rsidRDefault="000D11E6" w:rsidP="000D11E6">
      <w:pPr>
        <w:numPr>
          <w:ilvl w:val="0"/>
          <w:numId w:val="14"/>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Ensure there is no underlying infection.</w:t>
      </w:r>
    </w:p>
    <w:p w14:paraId="1F0E88D7" w14:textId="77777777" w:rsidR="000D11E6" w:rsidRPr="000C4A06" w:rsidRDefault="000D11E6" w:rsidP="000D11E6">
      <w:pPr>
        <w:numPr>
          <w:ilvl w:val="0"/>
          <w:numId w:val="14"/>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Site an intravenous cannula in an appropriate vein.</w:t>
      </w:r>
    </w:p>
    <w:p w14:paraId="0BA4572E" w14:textId="77777777" w:rsidR="000D11E6" w:rsidRPr="009F677F" w:rsidRDefault="000D11E6" w:rsidP="009F677F">
      <w:pPr>
        <w:numPr>
          <w:ilvl w:val="0"/>
          <w:numId w:val="14"/>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 xml:space="preserve">Take bloods to check FBC, U&amp;E’s, LFTs, CRP, and ESR – do not wait for blood results before starting. </w:t>
      </w:r>
    </w:p>
    <w:p w14:paraId="3AB14698" w14:textId="77777777" w:rsidR="000D11E6" w:rsidRPr="000C4A06" w:rsidRDefault="000D11E6" w:rsidP="000D11E6">
      <w:pPr>
        <w:numPr>
          <w:ilvl w:val="0"/>
          <w:numId w:val="14"/>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Baseline temperature, pulse, respiratory rate, blood pressure. Record these immediately prior to commencing the infusion.</w:t>
      </w:r>
      <w:r w:rsidRPr="000C4A06">
        <w:rPr>
          <w:rFonts w:ascii="Arial" w:hAnsi="Arial" w:cs="Arial"/>
          <w:b/>
          <w:sz w:val="20"/>
          <w:szCs w:val="20"/>
          <w:u w:val="single"/>
        </w:rPr>
        <w:t xml:space="preserve"> </w:t>
      </w:r>
    </w:p>
    <w:p w14:paraId="3DEE089D" w14:textId="77777777" w:rsidR="000D11E6" w:rsidRPr="000C4A06" w:rsidRDefault="000D11E6" w:rsidP="00D00143">
      <w:pPr>
        <w:spacing w:after="0"/>
        <w:rPr>
          <w:rFonts w:ascii="Arial" w:hAnsi="Arial" w:cs="Arial"/>
          <w:b/>
          <w:bCs/>
          <w:sz w:val="20"/>
          <w:szCs w:val="20"/>
          <w:u w:val="single"/>
        </w:rPr>
      </w:pPr>
    </w:p>
    <w:p w14:paraId="6FCD4F3E" w14:textId="77777777" w:rsidR="00D440A1" w:rsidRPr="000C4A06" w:rsidRDefault="00D440A1" w:rsidP="00D440A1">
      <w:pPr>
        <w:rPr>
          <w:rFonts w:ascii="Arial" w:hAnsi="Arial" w:cs="Arial"/>
          <w:b/>
          <w:sz w:val="20"/>
          <w:szCs w:val="20"/>
          <w:u w:val="single"/>
        </w:rPr>
      </w:pPr>
      <w:proofErr w:type="gramStart"/>
      <w:r w:rsidRPr="000C4A06">
        <w:rPr>
          <w:rFonts w:ascii="Arial" w:hAnsi="Arial" w:cs="Arial"/>
          <w:b/>
          <w:sz w:val="20"/>
          <w:szCs w:val="20"/>
          <w:u w:val="single"/>
        </w:rPr>
        <w:t>Preparation</w:t>
      </w:r>
      <w:r w:rsidRPr="000C4A06">
        <w:rPr>
          <w:rFonts w:ascii="Arial" w:hAnsi="Arial" w:cs="Arial"/>
          <w:b/>
          <w:sz w:val="20"/>
          <w:szCs w:val="20"/>
          <w:u w:val="single"/>
          <w:vertAlign w:val="superscript"/>
        </w:rPr>
        <w:t>(</w:t>
      </w:r>
      <w:proofErr w:type="gramEnd"/>
      <w:r w:rsidRPr="000C4A06">
        <w:rPr>
          <w:rFonts w:ascii="Arial" w:hAnsi="Arial" w:cs="Arial"/>
          <w:b/>
          <w:sz w:val="20"/>
          <w:szCs w:val="20"/>
          <w:u w:val="single"/>
          <w:vertAlign w:val="superscript"/>
        </w:rPr>
        <w:t>6)</w:t>
      </w:r>
    </w:p>
    <w:p w14:paraId="3265E00E" w14:textId="77777777" w:rsidR="009F677F" w:rsidRDefault="009F677F" w:rsidP="00D00143">
      <w:pPr>
        <w:spacing w:after="0"/>
        <w:rPr>
          <w:rFonts w:ascii="Arial" w:hAnsi="Arial" w:cs="Arial"/>
          <w:sz w:val="20"/>
          <w:szCs w:val="20"/>
        </w:rPr>
      </w:pPr>
      <w:r>
        <w:rPr>
          <w:rFonts w:ascii="Arial" w:hAnsi="Arial" w:cs="Arial"/>
          <w:sz w:val="20"/>
          <w:szCs w:val="20"/>
        </w:rPr>
        <w:t>Rituximab is prepared by pharmacy in aseptic units.</w:t>
      </w:r>
    </w:p>
    <w:p w14:paraId="09514D89" w14:textId="77777777" w:rsidR="009F677F" w:rsidRPr="000C4A06" w:rsidRDefault="009F677F" w:rsidP="00D00143">
      <w:pPr>
        <w:spacing w:after="0"/>
        <w:rPr>
          <w:rFonts w:ascii="Arial" w:hAnsi="Arial" w:cs="Arial"/>
          <w:b/>
          <w:bCs/>
          <w:sz w:val="20"/>
          <w:szCs w:val="20"/>
          <w:u w:val="single"/>
        </w:rPr>
      </w:pPr>
    </w:p>
    <w:p w14:paraId="0F182916" w14:textId="77777777" w:rsidR="00D00143" w:rsidRPr="000C4A06" w:rsidRDefault="00D440A1" w:rsidP="00D00143">
      <w:pPr>
        <w:spacing w:after="0"/>
        <w:rPr>
          <w:rFonts w:ascii="Arial" w:hAnsi="Arial" w:cs="Arial"/>
          <w:sz w:val="20"/>
          <w:szCs w:val="20"/>
        </w:rPr>
      </w:pPr>
      <w:r w:rsidRPr="000C4A06">
        <w:rPr>
          <w:rFonts w:ascii="Arial" w:hAnsi="Arial" w:cs="Arial"/>
          <w:b/>
          <w:bCs/>
          <w:sz w:val="20"/>
          <w:szCs w:val="20"/>
          <w:u w:val="single"/>
        </w:rPr>
        <w:t>A</w:t>
      </w:r>
      <w:r w:rsidR="00D00143" w:rsidRPr="000C4A06">
        <w:rPr>
          <w:rFonts w:ascii="Arial" w:hAnsi="Arial" w:cs="Arial"/>
          <w:b/>
          <w:bCs/>
          <w:sz w:val="20"/>
          <w:szCs w:val="20"/>
          <w:u w:val="single"/>
        </w:rPr>
        <w:t>dministration:</w:t>
      </w:r>
    </w:p>
    <w:p w14:paraId="2CECD9D4" w14:textId="77777777" w:rsidR="00D00143" w:rsidRPr="000C4A06" w:rsidRDefault="00D00143" w:rsidP="00D00143">
      <w:pPr>
        <w:spacing w:after="0"/>
        <w:ind w:left="360"/>
        <w:rPr>
          <w:rFonts w:ascii="Arial" w:hAnsi="Arial" w:cs="Arial"/>
          <w:sz w:val="20"/>
          <w:szCs w:val="20"/>
        </w:rPr>
      </w:pPr>
    </w:p>
    <w:p w14:paraId="156D73A2" w14:textId="77777777" w:rsidR="00D440A1" w:rsidRPr="000C4A06" w:rsidRDefault="00D440A1" w:rsidP="00D440A1">
      <w:pPr>
        <w:pStyle w:val="ListParagraph"/>
        <w:numPr>
          <w:ilvl w:val="0"/>
          <w:numId w:val="16"/>
        </w:numPr>
        <w:spacing w:after="200" w:line="276" w:lineRule="auto"/>
        <w:rPr>
          <w:rFonts w:ascii="Arial" w:hAnsi="Arial" w:cs="Arial"/>
          <w:sz w:val="20"/>
          <w:szCs w:val="20"/>
        </w:rPr>
      </w:pPr>
      <w:r w:rsidRPr="000C4A06">
        <w:rPr>
          <w:rFonts w:ascii="Arial" w:hAnsi="Arial" w:cs="Arial"/>
          <w:sz w:val="20"/>
          <w:szCs w:val="20"/>
        </w:rPr>
        <w:t>Prior to starting the infusion ensure emergency drugs are available in the ward area in case of any adverse reaction.</w:t>
      </w:r>
    </w:p>
    <w:p w14:paraId="22F9CA9F" w14:textId="77777777" w:rsidR="00D440A1" w:rsidRPr="000C4A06" w:rsidRDefault="00D440A1" w:rsidP="00D440A1">
      <w:pPr>
        <w:pStyle w:val="ListParagraph"/>
        <w:numPr>
          <w:ilvl w:val="0"/>
          <w:numId w:val="16"/>
        </w:numPr>
        <w:spacing w:after="200" w:line="276" w:lineRule="auto"/>
        <w:rPr>
          <w:rStyle w:val="NormalArialChar"/>
          <w:rFonts w:eastAsiaTheme="majorEastAsia"/>
          <w:sz w:val="20"/>
          <w:szCs w:val="20"/>
        </w:rPr>
      </w:pPr>
      <w:r w:rsidRPr="000C4A06">
        <w:rPr>
          <w:rFonts w:ascii="Arial" w:hAnsi="Arial" w:cs="Arial"/>
          <w:sz w:val="20"/>
          <w:szCs w:val="20"/>
        </w:rPr>
        <w:t xml:space="preserve">All medications should be given in accordance </w:t>
      </w:r>
      <w:r w:rsidRPr="000C4A06">
        <w:rPr>
          <w:rStyle w:val="NormalArialChar"/>
          <w:rFonts w:eastAsiaTheme="majorEastAsia"/>
          <w:sz w:val="20"/>
          <w:szCs w:val="20"/>
        </w:rPr>
        <w:t xml:space="preserve">with </w:t>
      </w:r>
      <w:hyperlink r:id="rId12" w:tooltip="http://intranet.lothian.scot.nhs.uk/NHSLothian/Healthcare/ClinicalGuidance/General/Medicines Policy and procedures - December 2009.pdf" w:history="1">
        <w:r w:rsidR="00B6751E">
          <w:rPr>
            <w:rStyle w:val="NormalArialChar"/>
            <w:rFonts w:eastAsiaTheme="majorEastAsia"/>
            <w:sz w:val="20"/>
            <w:szCs w:val="20"/>
          </w:rPr>
          <w:t>hospital</w:t>
        </w:r>
        <w:r w:rsidRPr="000C4A06">
          <w:rPr>
            <w:rStyle w:val="NormalArialChar"/>
            <w:rFonts w:eastAsiaTheme="majorEastAsia"/>
            <w:sz w:val="20"/>
            <w:szCs w:val="20"/>
          </w:rPr>
          <w:t xml:space="preserve"> Safe Use of Medicines Policy</w:t>
        </w:r>
      </w:hyperlink>
      <w:r w:rsidRPr="000C4A06">
        <w:rPr>
          <w:rStyle w:val="NormalArialChar"/>
          <w:rFonts w:eastAsiaTheme="majorEastAsia"/>
          <w:sz w:val="20"/>
          <w:szCs w:val="20"/>
        </w:rPr>
        <w:t>.</w:t>
      </w:r>
    </w:p>
    <w:p w14:paraId="63DEF526" w14:textId="77777777" w:rsidR="00D440A1" w:rsidRPr="000C4A06" w:rsidRDefault="00D440A1" w:rsidP="00D440A1">
      <w:pPr>
        <w:pStyle w:val="ListParagraph"/>
        <w:numPr>
          <w:ilvl w:val="0"/>
          <w:numId w:val="16"/>
        </w:numPr>
        <w:spacing w:after="200" w:line="276" w:lineRule="auto"/>
        <w:rPr>
          <w:rStyle w:val="NormalArialChar"/>
          <w:rFonts w:eastAsiaTheme="majorEastAsia"/>
          <w:sz w:val="20"/>
          <w:szCs w:val="20"/>
        </w:rPr>
      </w:pPr>
      <w:r w:rsidRPr="000C4A06">
        <w:rPr>
          <w:rStyle w:val="NormalArialChar"/>
          <w:rFonts w:eastAsiaTheme="majorEastAsia"/>
          <w:sz w:val="20"/>
          <w:szCs w:val="20"/>
        </w:rPr>
        <w:lastRenderedPageBreak/>
        <w:t>Check al</w:t>
      </w:r>
      <w:r w:rsidR="009F677F">
        <w:rPr>
          <w:rStyle w:val="NormalArialChar"/>
          <w:rFonts w:eastAsiaTheme="majorEastAsia"/>
          <w:sz w:val="20"/>
          <w:szCs w:val="20"/>
        </w:rPr>
        <w:t>l prescribed doses of rituximab</w:t>
      </w:r>
      <w:r w:rsidRPr="000C4A06">
        <w:rPr>
          <w:rStyle w:val="NormalArialChar"/>
          <w:rFonts w:eastAsiaTheme="majorEastAsia"/>
          <w:sz w:val="20"/>
          <w:szCs w:val="20"/>
        </w:rPr>
        <w:t xml:space="preserve"> are correct for the patient.</w:t>
      </w:r>
    </w:p>
    <w:p w14:paraId="7B6FA644" w14:textId="77777777" w:rsidR="00D440A1" w:rsidRPr="000C4A06" w:rsidRDefault="00D440A1" w:rsidP="00D440A1">
      <w:pPr>
        <w:pStyle w:val="ListParagraph"/>
        <w:numPr>
          <w:ilvl w:val="0"/>
          <w:numId w:val="16"/>
        </w:numPr>
        <w:spacing w:after="200" w:line="276" w:lineRule="auto"/>
        <w:rPr>
          <w:rFonts w:ascii="Arial" w:hAnsi="Arial" w:cs="Arial"/>
          <w:sz w:val="20"/>
          <w:szCs w:val="20"/>
          <w:u w:val="single"/>
        </w:rPr>
      </w:pPr>
      <w:r w:rsidRPr="000C4A06">
        <w:rPr>
          <w:rStyle w:val="NormalArialChar"/>
          <w:rFonts w:eastAsiaTheme="majorEastAsia"/>
          <w:sz w:val="20"/>
          <w:szCs w:val="20"/>
        </w:rPr>
        <w:t>Administer premedication.</w:t>
      </w:r>
    </w:p>
    <w:p w14:paraId="054A7B63" w14:textId="77777777" w:rsidR="00D440A1" w:rsidRPr="000C4A06" w:rsidRDefault="00D440A1" w:rsidP="00D440A1">
      <w:pPr>
        <w:pStyle w:val="ListParagraph"/>
        <w:numPr>
          <w:ilvl w:val="0"/>
          <w:numId w:val="16"/>
        </w:numPr>
        <w:spacing w:after="200" w:line="276" w:lineRule="auto"/>
        <w:rPr>
          <w:rFonts w:ascii="Arial" w:hAnsi="Arial" w:cs="Arial"/>
          <w:sz w:val="20"/>
          <w:szCs w:val="20"/>
        </w:rPr>
      </w:pPr>
      <w:r w:rsidRPr="000C4A06">
        <w:rPr>
          <w:rFonts w:ascii="Arial" w:hAnsi="Arial" w:cs="Arial"/>
          <w:sz w:val="20"/>
          <w:szCs w:val="20"/>
        </w:rPr>
        <w:t xml:space="preserve">Administer </w:t>
      </w:r>
      <w:r w:rsidR="00B6751E">
        <w:rPr>
          <w:rFonts w:ascii="Arial" w:hAnsi="Arial" w:cs="Arial"/>
          <w:sz w:val="20"/>
          <w:szCs w:val="20"/>
        </w:rPr>
        <w:t>the rituximab</w:t>
      </w:r>
      <w:r w:rsidRPr="000C4A06">
        <w:rPr>
          <w:rFonts w:ascii="Arial" w:hAnsi="Arial" w:cs="Arial"/>
          <w:sz w:val="20"/>
          <w:szCs w:val="20"/>
        </w:rPr>
        <w:t xml:space="preserve"> infusion using an infusion set with an in-line, sterile, non-pyrogenic, low protein-binding filter (pore size 1.2 micron or less).</w:t>
      </w:r>
    </w:p>
    <w:p w14:paraId="156C4209" w14:textId="77777777" w:rsidR="00D440A1" w:rsidRPr="000C4A06" w:rsidRDefault="00D440A1" w:rsidP="00D440A1">
      <w:pPr>
        <w:pStyle w:val="ListParagraph"/>
        <w:numPr>
          <w:ilvl w:val="0"/>
          <w:numId w:val="16"/>
        </w:numPr>
        <w:spacing w:after="200" w:line="276" w:lineRule="auto"/>
        <w:rPr>
          <w:rFonts w:ascii="Arial" w:hAnsi="Arial" w:cs="Arial"/>
          <w:sz w:val="20"/>
          <w:szCs w:val="20"/>
        </w:rPr>
      </w:pPr>
      <w:r w:rsidRPr="000C4A06">
        <w:rPr>
          <w:rFonts w:ascii="Arial" w:hAnsi="Arial" w:cs="Arial"/>
          <w:sz w:val="20"/>
          <w:szCs w:val="20"/>
        </w:rPr>
        <w:t xml:space="preserve">Visually inspect the infusion for particulate matter, </w:t>
      </w:r>
      <w:proofErr w:type="gramStart"/>
      <w:r w:rsidRPr="000C4A06">
        <w:rPr>
          <w:rFonts w:ascii="Arial" w:hAnsi="Arial" w:cs="Arial"/>
          <w:sz w:val="20"/>
          <w:szCs w:val="20"/>
        </w:rPr>
        <w:t>discolouration</w:t>
      </w:r>
      <w:proofErr w:type="gramEnd"/>
      <w:r w:rsidRPr="000C4A06">
        <w:rPr>
          <w:rFonts w:ascii="Arial" w:hAnsi="Arial" w:cs="Arial"/>
          <w:sz w:val="20"/>
          <w:szCs w:val="20"/>
        </w:rPr>
        <w:t xml:space="preserve"> or foreign particles.</w:t>
      </w:r>
    </w:p>
    <w:p w14:paraId="752E082A" w14:textId="77777777" w:rsidR="00D440A1" w:rsidRPr="000C4A06" w:rsidRDefault="00D440A1" w:rsidP="00D440A1">
      <w:pPr>
        <w:pStyle w:val="ListParagraph"/>
        <w:numPr>
          <w:ilvl w:val="0"/>
          <w:numId w:val="16"/>
        </w:numPr>
        <w:spacing w:after="200" w:line="276" w:lineRule="auto"/>
        <w:rPr>
          <w:rFonts w:ascii="Arial" w:hAnsi="Arial" w:cs="Arial"/>
          <w:sz w:val="20"/>
          <w:szCs w:val="20"/>
        </w:rPr>
      </w:pPr>
      <w:r w:rsidRPr="000C4A06">
        <w:rPr>
          <w:rFonts w:ascii="Arial" w:hAnsi="Arial" w:cs="Arial"/>
          <w:sz w:val="20"/>
          <w:szCs w:val="20"/>
        </w:rPr>
        <w:t xml:space="preserve">Infuse at </w:t>
      </w:r>
      <w:r w:rsidR="00B6751E">
        <w:rPr>
          <w:rFonts w:ascii="Arial" w:hAnsi="Arial" w:cs="Arial"/>
          <w:sz w:val="20"/>
          <w:szCs w:val="20"/>
        </w:rPr>
        <w:t xml:space="preserve">the prescribed, </w:t>
      </w:r>
      <w:proofErr w:type="gramStart"/>
      <w:r w:rsidR="00B6751E">
        <w:rPr>
          <w:rFonts w:ascii="Arial" w:hAnsi="Arial" w:cs="Arial"/>
          <w:sz w:val="20"/>
          <w:szCs w:val="20"/>
        </w:rPr>
        <w:t>30 minute</w:t>
      </w:r>
      <w:proofErr w:type="gramEnd"/>
      <w:r w:rsidR="00B6751E">
        <w:rPr>
          <w:rFonts w:ascii="Arial" w:hAnsi="Arial" w:cs="Arial"/>
          <w:sz w:val="20"/>
          <w:szCs w:val="20"/>
        </w:rPr>
        <w:t>, stepwise rate</w:t>
      </w:r>
      <w:r w:rsidRPr="000C4A06">
        <w:rPr>
          <w:rFonts w:ascii="Arial" w:hAnsi="Arial" w:cs="Arial"/>
          <w:sz w:val="20"/>
          <w:szCs w:val="20"/>
        </w:rPr>
        <w:t>.</w:t>
      </w:r>
    </w:p>
    <w:p w14:paraId="01FC3C9B" w14:textId="5B14EA3B" w:rsidR="00D440A1" w:rsidRDefault="00D440A1" w:rsidP="00D440A1">
      <w:pPr>
        <w:pStyle w:val="ListParagraph"/>
        <w:numPr>
          <w:ilvl w:val="0"/>
          <w:numId w:val="16"/>
        </w:numPr>
        <w:spacing w:after="200" w:line="276" w:lineRule="auto"/>
        <w:rPr>
          <w:rFonts w:ascii="Arial" w:hAnsi="Arial" w:cs="Arial"/>
          <w:sz w:val="20"/>
          <w:szCs w:val="20"/>
        </w:rPr>
      </w:pPr>
      <w:r w:rsidRPr="5A29EE1F">
        <w:rPr>
          <w:rFonts w:ascii="Arial" w:hAnsi="Arial" w:cs="Arial"/>
          <w:sz w:val="20"/>
          <w:szCs w:val="20"/>
        </w:rPr>
        <w:t xml:space="preserve">Flush with 30ml of Sodium Chloride 0.9% at the </w:t>
      </w:r>
      <w:r w:rsidR="00B6751E" w:rsidRPr="5A29EE1F">
        <w:rPr>
          <w:rFonts w:ascii="Arial" w:hAnsi="Arial" w:cs="Arial"/>
          <w:sz w:val="20"/>
          <w:szCs w:val="20"/>
        </w:rPr>
        <w:t>end of the rituximab</w:t>
      </w:r>
      <w:r w:rsidRPr="5A29EE1F">
        <w:rPr>
          <w:rFonts w:ascii="Arial" w:hAnsi="Arial" w:cs="Arial"/>
          <w:sz w:val="20"/>
          <w:szCs w:val="20"/>
        </w:rPr>
        <w:t xml:space="preserve"> infusion.</w:t>
      </w:r>
    </w:p>
    <w:p w14:paraId="56FF483F" w14:textId="77777777" w:rsidR="002E3D7C" w:rsidRPr="002E3D7C" w:rsidRDefault="002E3D7C" w:rsidP="002E3D7C">
      <w:pPr>
        <w:pStyle w:val="ListParagraph"/>
        <w:numPr>
          <w:ilvl w:val="0"/>
          <w:numId w:val="16"/>
        </w:numPr>
        <w:spacing w:after="200" w:line="276" w:lineRule="auto"/>
        <w:rPr>
          <w:rFonts w:ascii="Arial" w:hAnsi="Arial" w:cs="Arial"/>
          <w:b/>
          <w:sz w:val="20"/>
          <w:szCs w:val="20"/>
          <w:u w:val="single"/>
        </w:rPr>
      </w:pPr>
      <w:r>
        <w:rPr>
          <w:rFonts w:ascii="Arial" w:hAnsi="Arial" w:cs="Arial"/>
          <w:sz w:val="20"/>
          <w:szCs w:val="20"/>
        </w:rPr>
        <w:t xml:space="preserve">The IV Infusion rate will gradually increase during the infusion </w:t>
      </w:r>
    </w:p>
    <w:p w14:paraId="2ECDDB12" w14:textId="77777777" w:rsidR="002E3D7C" w:rsidRDefault="002E3D7C" w:rsidP="002E3D7C">
      <w:pPr>
        <w:rPr>
          <w:rFonts w:ascii="Arial" w:hAnsi="Arial" w:cs="Arial"/>
          <w:b/>
          <w:sz w:val="20"/>
          <w:szCs w:val="20"/>
          <w:u w:val="single"/>
        </w:rPr>
      </w:pPr>
    </w:p>
    <w:p w14:paraId="44ADB7D6" w14:textId="5D8768D7" w:rsidR="00D440A1" w:rsidRPr="002E3D7C" w:rsidRDefault="00D440A1" w:rsidP="002E3D7C">
      <w:pPr>
        <w:rPr>
          <w:rFonts w:ascii="Arial" w:hAnsi="Arial" w:cs="Arial"/>
          <w:b/>
          <w:sz w:val="20"/>
          <w:szCs w:val="20"/>
          <w:u w:val="single"/>
        </w:rPr>
      </w:pPr>
      <w:r w:rsidRPr="002E3D7C">
        <w:rPr>
          <w:rFonts w:ascii="Arial" w:hAnsi="Arial" w:cs="Arial"/>
          <w:b/>
          <w:sz w:val="20"/>
          <w:szCs w:val="20"/>
          <w:u w:val="single"/>
        </w:rPr>
        <w:t>Monitoring</w:t>
      </w:r>
    </w:p>
    <w:p w14:paraId="5772690E" w14:textId="77777777" w:rsidR="00D440A1" w:rsidRPr="000C4A06" w:rsidRDefault="00D440A1" w:rsidP="00D440A1">
      <w:pPr>
        <w:rPr>
          <w:rFonts w:ascii="Arial" w:hAnsi="Arial" w:cs="Arial"/>
          <w:b/>
          <w:sz w:val="20"/>
          <w:szCs w:val="20"/>
          <w:u w:val="single"/>
        </w:rPr>
      </w:pPr>
      <w:r w:rsidRPr="000C4A06">
        <w:rPr>
          <w:rFonts w:ascii="Arial" w:hAnsi="Arial" w:cs="Arial"/>
          <w:b/>
          <w:sz w:val="20"/>
          <w:szCs w:val="20"/>
          <w:u w:val="single"/>
        </w:rPr>
        <w:t>During the infusion</w:t>
      </w:r>
    </w:p>
    <w:p w14:paraId="5B352689" w14:textId="77777777" w:rsidR="00D440A1" w:rsidRPr="000C4A06" w:rsidRDefault="00D440A1" w:rsidP="00D440A1">
      <w:pPr>
        <w:numPr>
          <w:ilvl w:val="0"/>
          <w:numId w:val="17"/>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 xml:space="preserve">Monitor pulse, temperature, respiratory </w:t>
      </w:r>
      <w:proofErr w:type="gramStart"/>
      <w:r w:rsidR="009F677F">
        <w:rPr>
          <w:rFonts w:ascii="Arial" w:hAnsi="Arial" w:cs="Arial"/>
          <w:sz w:val="20"/>
          <w:szCs w:val="20"/>
        </w:rPr>
        <w:t>rate</w:t>
      </w:r>
      <w:proofErr w:type="gramEnd"/>
      <w:r w:rsidR="009F677F">
        <w:rPr>
          <w:rFonts w:ascii="Arial" w:hAnsi="Arial" w:cs="Arial"/>
          <w:sz w:val="20"/>
          <w:szCs w:val="20"/>
        </w:rPr>
        <w:t xml:space="preserve"> and blood pressure every 15</w:t>
      </w:r>
      <w:r w:rsidRPr="000C4A06">
        <w:rPr>
          <w:rFonts w:ascii="Arial" w:hAnsi="Arial" w:cs="Arial"/>
          <w:sz w:val="20"/>
          <w:szCs w:val="20"/>
        </w:rPr>
        <w:t xml:space="preserve"> minutes during the</w:t>
      </w:r>
      <w:r w:rsidR="009F677F">
        <w:rPr>
          <w:rFonts w:ascii="Arial" w:hAnsi="Arial" w:cs="Arial"/>
          <w:sz w:val="20"/>
          <w:szCs w:val="20"/>
        </w:rPr>
        <w:t xml:space="preserve"> patients first rituximab</w:t>
      </w:r>
      <w:r w:rsidRPr="000C4A06">
        <w:rPr>
          <w:rFonts w:ascii="Arial" w:hAnsi="Arial" w:cs="Arial"/>
          <w:sz w:val="20"/>
          <w:szCs w:val="20"/>
        </w:rPr>
        <w:t xml:space="preserve"> infusion.</w:t>
      </w:r>
      <w:r w:rsidR="009F677F">
        <w:rPr>
          <w:rFonts w:ascii="Arial" w:hAnsi="Arial" w:cs="Arial"/>
          <w:sz w:val="20"/>
          <w:szCs w:val="20"/>
        </w:rPr>
        <w:t xml:space="preserve"> If well tolerated subsequent infusion monitoring can be every 30 minutes.</w:t>
      </w:r>
    </w:p>
    <w:p w14:paraId="2114378E" w14:textId="77777777" w:rsidR="00D440A1" w:rsidRDefault="00D440A1" w:rsidP="00D440A1">
      <w:pPr>
        <w:numPr>
          <w:ilvl w:val="0"/>
          <w:numId w:val="17"/>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Acute infusion reactions may develop anytime during or after the infusion.</w:t>
      </w:r>
    </w:p>
    <w:p w14:paraId="1FA3F7A3" w14:textId="77777777" w:rsidR="009F677F" w:rsidRPr="000C4A06" w:rsidRDefault="009F677F" w:rsidP="00D440A1">
      <w:pPr>
        <w:numPr>
          <w:ilvl w:val="0"/>
          <w:numId w:val="17"/>
        </w:numPr>
        <w:autoSpaceDE w:val="0"/>
        <w:autoSpaceDN w:val="0"/>
        <w:adjustRightInd w:val="0"/>
        <w:spacing w:after="0" w:line="240" w:lineRule="auto"/>
        <w:rPr>
          <w:rFonts w:ascii="Arial" w:hAnsi="Arial" w:cs="Arial"/>
          <w:sz w:val="20"/>
          <w:szCs w:val="20"/>
        </w:rPr>
      </w:pPr>
      <w:r>
        <w:t>Patients should take oral prednisolone for 3 days after the infusion; Day 1 - 30mg OD, Day 2 - 20mg OD and Day 3- 10mg OD) and then continue with their normal maintenance prednisolone dose.</w:t>
      </w:r>
    </w:p>
    <w:p w14:paraId="705FF2C4" w14:textId="77777777" w:rsidR="00234DCE" w:rsidRPr="000C4A06" w:rsidRDefault="00234DCE" w:rsidP="00D440A1">
      <w:pPr>
        <w:autoSpaceDE w:val="0"/>
        <w:autoSpaceDN w:val="0"/>
        <w:adjustRightInd w:val="0"/>
        <w:spacing w:after="0" w:line="240" w:lineRule="auto"/>
        <w:rPr>
          <w:rFonts w:ascii="Arial" w:hAnsi="Arial" w:cs="Arial"/>
          <w:sz w:val="20"/>
          <w:szCs w:val="20"/>
        </w:rPr>
      </w:pPr>
    </w:p>
    <w:p w14:paraId="2BF13F24" w14:textId="77777777" w:rsidR="00D440A1" w:rsidRPr="000C4A06" w:rsidRDefault="00D440A1" w:rsidP="00D440A1">
      <w:pPr>
        <w:rPr>
          <w:rFonts w:ascii="Arial" w:hAnsi="Arial" w:cs="Arial"/>
          <w:b/>
          <w:sz w:val="20"/>
          <w:szCs w:val="20"/>
          <w:u w:val="single"/>
        </w:rPr>
      </w:pPr>
      <w:r w:rsidRPr="000C4A06">
        <w:rPr>
          <w:rFonts w:ascii="Arial" w:hAnsi="Arial" w:cs="Arial"/>
          <w:b/>
          <w:sz w:val="20"/>
          <w:szCs w:val="20"/>
          <w:u w:val="single"/>
        </w:rPr>
        <w:t>Post infusion</w:t>
      </w:r>
    </w:p>
    <w:p w14:paraId="61101E52" w14:textId="77777777" w:rsidR="00D440A1" w:rsidRPr="000C4A06" w:rsidRDefault="00D440A1" w:rsidP="00D440A1">
      <w:pPr>
        <w:numPr>
          <w:ilvl w:val="0"/>
          <w:numId w:val="17"/>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 xml:space="preserve">Monitor pulse, temperature, respiratory </w:t>
      </w:r>
      <w:proofErr w:type="gramStart"/>
      <w:r w:rsidRPr="000C4A06">
        <w:rPr>
          <w:rFonts w:ascii="Arial" w:hAnsi="Arial" w:cs="Arial"/>
          <w:sz w:val="20"/>
          <w:szCs w:val="20"/>
        </w:rPr>
        <w:t>r</w:t>
      </w:r>
      <w:r w:rsidR="00B6751E">
        <w:rPr>
          <w:rFonts w:ascii="Arial" w:hAnsi="Arial" w:cs="Arial"/>
          <w:sz w:val="20"/>
          <w:szCs w:val="20"/>
        </w:rPr>
        <w:t>ate</w:t>
      </w:r>
      <w:proofErr w:type="gramEnd"/>
      <w:r w:rsidR="00B6751E">
        <w:rPr>
          <w:rFonts w:ascii="Arial" w:hAnsi="Arial" w:cs="Arial"/>
          <w:sz w:val="20"/>
          <w:szCs w:val="20"/>
        </w:rPr>
        <w:t xml:space="preserve"> and blood pressure every 15 </w:t>
      </w:r>
      <w:r w:rsidRPr="000C4A06">
        <w:rPr>
          <w:rFonts w:ascii="Arial" w:hAnsi="Arial" w:cs="Arial"/>
          <w:sz w:val="20"/>
          <w:szCs w:val="20"/>
        </w:rPr>
        <w:t>minutes for</w:t>
      </w:r>
      <w:r w:rsidR="00B6751E">
        <w:rPr>
          <w:rFonts w:ascii="Arial" w:hAnsi="Arial" w:cs="Arial"/>
          <w:sz w:val="20"/>
          <w:szCs w:val="20"/>
        </w:rPr>
        <w:t xml:space="preserve"> 1 hour</w:t>
      </w:r>
      <w:r w:rsidRPr="000C4A06">
        <w:rPr>
          <w:rFonts w:ascii="Arial" w:hAnsi="Arial" w:cs="Arial"/>
          <w:sz w:val="20"/>
          <w:szCs w:val="20"/>
        </w:rPr>
        <w:t xml:space="preserve"> </w:t>
      </w:r>
      <w:r w:rsidR="00B6751E">
        <w:rPr>
          <w:rFonts w:ascii="Arial" w:hAnsi="Arial" w:cs="Arial"/>
          <w:sz w:val="20"/>
          <w:szCs w:val="20"/>
        </w:rPr>
        <w:t>the patients first</w:t>
      </w:r>
      <w:r w:rsidRPr="000C4A06">
        <w:rPr>
          <w:rFonts w:ascii="Arial" w:hAnsi="Arial" w:cs="Arial"/>
          <w:sz w:val="20"/>
          <w:szCs w:val="20"/>
        </w:rPr>
        <w:t xml:space="preserve"> infusion </w:t>
      </w:r>
    </w:p>
    <w:p w14:paraId="42680C40" w14:textId="77777777" w:rsidR="00D440A1" w:rsidRPr="000C4A06" w:rsidRDefault="00D440A1" w:rsidP="00D440A1">
      <w:pPr>
        <w:numPr>
          <w:ilvl w:val="0"/>
          <w:numId w:val="17"/>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 xml:space="preserve">Monitor pulse, temperature, respiratory </w:t>
      </w:r>
      <w:proofErr w:type="gramStart"/>
      <w:r w:rsidRPr="000C4A06">
        <w:rPr>
          <w:rFonts w:ascii="Arial" w:hAnsi="Arial" w:cs="Arial"/>
          <w:sz w:val="20"/>
          <w:szCs w:val="20"/>
        </w:rPr>
        <w:t>rate</w:t>
      </w:r>
      <w:proofErr w:type="gramEnd"/>
      <w:r w:rsidRPr="000C4A06">
        <w:rPr>
          <w:rFonts w:ascii="Arial" w:hAnsi="Arial" w:cs="Arial"/>
          <w:sz w:val="20"/>
          <w:szCs w:val="20"/>
        </w:rPr>
        <w:t xml:space="preserve"> and blood pressure every 30 minutes for 30 minutes post a </w:t>
      </w:r>
      <w:r w:rsidR="00B6751E">
        <w:rPr>
          <w:rFonts w:ascii="Arial" w:hAnsi="Arial" w:cs="Arial"/>
          <w:sz w:val="20"/>
          <w:szCs w:val="20"/>
        </w:rPr>
        <w:t>patients second infusion</w:t>
      </w:r>
      <w:r w:rsidRPr="000C4A06">
        <w:rPr>
          <w:rFonts w:ascii="Arial" w:hAnsi="Arial" w:cs="Arial"/>
          <w:sz w:val="20"/>
          <w:szCs w:val="20"/>
        </w:rPr>
        <w:t xml:space="preserve">. </w:t>
      </w:r>
    </w:p>
    <w:p w14:paraId="2CAAD2A3" w14:textId="77777777" w:rsidR="00D440A1" w:rsidRPr="000C4A06" w:rsidRDefault="00D440A1" w:rsidP="00D440A1">
      <w:pPr>
        <w:numPr>
          <w:ilvl w:val="0"/>
          <w:numId w:val="17"/>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Advise patients and carers to report any signs of infection or possible side effects. Delayed hypersensitivity-like reactions may appear 1-14 days after the infusion.</w:t>
      </w:r>
    </w:p>
    <w:p w14:paraId="305F7375" w14:textId="77777777" w:rsidR="00D440A1" w:rsidRDefault="00D440A1" w:rsidP="00D440A1">
      <w:pPr>
        <w:numPr>
          <w:ilvl w:val="0"/>
          <w:numId w:val="17"/>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Advise patients and carers to seek immediate medical advice if hypersensitivity symptoms occur. Delayed reactions are more likely to occur if a patient has had a previous course of infliximab.</w:t>
      </w:r>
    </w:p>
    <w:p w14:paraId="37C1640E" w14:textId="39042BCA" w:rsidR="00D00143" w:rsidRPr="002E3D7C" w:rsidRDefault="006A1808" w:rsidP="00D00143">
      <w:pPr>
        <w:numPr>
          <w:ilvl w:val="0"/>
          <w:numId w:val="17"/>
        </w:numPr>
        <w:autoSpaceDE w:val="0"/>
        <w:autoSpaceDN w:val="0"/>
        <w:adjustRightInd w:val="0"/>
        <w:spacing w:after="0" w:line="240" w:lineRule="auto"/>
        <w:rPr>
          <w:rFonts w:ascii="Arial" w:hAnsi="Arial" w:cs="Arial"/>
          <w:sz w:val="20"/>
          <w:szCs w:val="20"/>
        </w:rPr>
      </w:pPr>
      <w:r>
        <w:t>Immunoglobulins and lymphocyte subsets (CD19/CD20) will be followed up a</w:t>
      </w:r>
      <w:r w:rsidR="002E3D7C">
        <w:t>t day 28 post infusion and should be checked a</w:t>
      </w:r>
      <w:r>
        <w:t>pproximately 2 monthly until B cells normalise</w:t>
      </w:r>
      <w:r w:rsidR="002E3D7C">
        <w:t xml:space="preserve"> </w:t>
      </w:r>
    </w:p>
    <w:p w14:paraId="4A08A8CA" w14:textId="77777777" w:rsidR="002E3D7C" w:rsidRDefault="002E3D7C" w:rsidP="00D440A1">
      <w:pPr>
        <w:rPr>
          <w:rFonts w:ascii="Arial" w:hAnsi="Arial" w:cs="Arial"/>
          <w:b/>
          <w:sz w:val="20"/>
          <w:szCs w:val="20"/>
          <w:u w:val="single"/>
        </w:rPr>
      </w:pPr>
    </w:p>
    <w:p w14:paraId="112840C9" w14:textId="7010A7F7" w:rsidR="00D440A1" w:rsidRPr="000C4A06" w:rsidRDefault="00D440A1" w:rsidP="00D440A1">
      <w:pPr>
        <w:rPr>
          <w:rFonts w:ascii="Arial" w:hAnsi="Arial" w:cs="Arial"/>
          <w:b/>
          <w:sz w:val="20"/>
          <w:szCs w:val="20"/>
          <w:u w:val="single"/>
        </w:rPr>
      </w:pPr>
      <w:r w:rsidRPr="000C4A06">
        <w:rPr>
          <w:rFonts w:ascii="Arial" w:hAnsi="Arial" w:cs="Arial"/>
          <w:b/>
          <w:sz w:val="20"/>
          <w:szCs w:val="20"/>
          <w:u w:val="single"/>
        </w:rPr>
        <w:t>Possible side effects</w:t>
      </w:r>
    </w:p>
    <w:p w14:paraId="504A0E60" w14:textId="77777777" w:rsidR="00D440A1" w:rsidRPr="000C4A06" w:rsidRDefault="00D440A1" w:rsidP="00D440A1">
      <w:pPr>
        <w:rPr>
          <w:rFonts w:ascii="Arial" w:hAnsi="Arial" w:cs="Arial"/>
          <w:sz w:val="20"/>
          <w:szCs w:val="20"/>
          <w:u w:val="single"/>
        </w:rPr>
      </w:pPr>
      <w:r w:rsidRPr="000C4A06">
        <w:rPr>
          <w:rFonts w:ascii="Arial" w:hAnsi="Arial" w:cs="Arial"/>
          <w:sz w:val="20"/>
          <w:szCs w:val="20"/>
        </w:rPr>
        <w:t xml:space="preserve">See </w:t>
      </w:r>
      <w:proofErr w:type="spellStart"/>
      <w:r w:rsidRPr="000C4A06">
        <w:rPr>
          <w:rFonts w:ascii="Arial" w:hAnsi="Arial" w:cs="Arial"/>
          <w:sz w:val="20"/>
          <w:szCs w:val="20"/>
        </w:rPr>
        <w:t>BNFc</w:t>
      </w:r>
      <w:proofErr w:type="spellEnd"/>
      <w:r w:rsidRPr="000C4A06">
        <w:rPr>
          <w:rFonts w:ascii="Arial" w:hAnsi="Arial" w:cs="Arial"/>
          <w:sz w:val="20"/>
          <w:szCs w:val="20"/>
        </w:rPr>
        <w:t xml:space="preserve"> or Summary of Product Characteristics for full list of side </w:t>
      </w:r>
      <w:proofErr w:type="gramStart"/>
      <w:r w:rsidRPr="000C4A06">
        <w:rPr>
          <w:rFonts w:ascii="Arial" w:hAnsi="Arial" w:cs="Arial"/>
          <w:sz w:val="20"/>
          <w:szCs w:val="20"/>
        </w:rPr>
        <w:t>effects.</w:t>
      </w:r>
      <w:r w:rsidRPr="000C4A06">
        <w:rPr>
          <w:rFonts w:ascii="Arial" w:hAnsi="Arial" w:cs="Arial"/>
          <w:sz w:val="20"/>
          <w:szCs w:val="20"/>
          <w:vertAlign w:val="superscript"/>
        </w:rPr>
        <w:t>(</w:t>
      </w:r>
      <w:proofErr w:type="gramEnd"/>
      <w:r w:rsidRPr="000C4A06">
        <w:rPr>
          <w:rFonts w:ascii="Arial" w:hAnsi="Arial" w:cs="Arial"/>
          <w:sz w:val="20"/>
          <w:szCs w:val="20"/>
          <w:vertAlign w:val="superscript"/>
        </w:rPr>
        <w:t>2,5)</w:t>
      </w:r>
    </w:p>
    <w:p w14:paraId="44164AEC" w14:textId="77777777" w:rsidR="00D440A1" w:rsidRPr="000C4A06" w:rsidRDefault="00D440A1" w:rsidP="00D440A1">
      <w:pPr>
        <w:pStyle w:val="NormalArial"/>
        <w:rPr>
          <w:b/>
          <w:sz w:val="20"/>
          <w:szCs w:val="20"/>
        </w:rPr>
      </w:pPr>
      <w:r w:rsidRPr="000C4A06">
        <w:rPr>
          <w:b/>
          <w:sz w:val="20"/>
          <w:szCs w:val="20"/>
        </w:rPr>
        <w:t>Common or very common</w:t>
      </w:r>
    </w:p>
    <w:p w14:paraId="2645159B" w14:textId="77777777" w:rsidR="00D440A1" w:rsidRPr="000C4A06" w:rsidRDefault="00D440A1" w:rsidP="00D440A1">
      <w:pPr>
        <w:pStyle w:val="NormalArial"/>
        <w:numPr>
          <w:ilvl w:val="0"/>
          <w:numId w:val="21"/>
        </w:numPr>
        <w:rPr>
          <w:sz w:val="20"/>
          <w:szCs w:val="20"/>
        </w:rPr>
      </w:pPr>
      <w:r w:rsidRPr="000C4A06">
        <w:rPr>
          <w:sz w:val="20"/>
          <w:szCs w:val="20"/>
        </w:rPr>
        <w:t>Anaemia</w:t>
      </w:r>
    </w:p>
    <w:p w14:paraId="435A94EE" w14:textId="77777777" w:rsidR="00D440A1" w:rsidRPr="000C4A06" w:rsidRDefault="00D440A1" w:rsidP="00D440A1">
      <w:pPr>
        <w:pStyle w:val="NormalArial"/>
        <w:numPr>
          <w:ilvl w:val="0"/>
          <w:numId w:val="21"/>
        </w:numPr>
        <w:rPr>
          <w:sz w:val="20"/>
          <w:szCs w:val="20"/>
        </w:rPr>
      </w:pPr>
      <w:r w:rsidRPr="000C4A06">
        <w:rPr>
          <w:sz w:val="20"/>
          <w:szCs w:val="20"/>
        </w:rPr>
        <w:t>Constipation</w:t>
      </w:r>
    </w:p>
    <w:p w14:paraId="05103C17" w14:textId="77777777" w:rsidR="00D440A1" w:rsidRPr="000C4A06" w:rsidRDefault="00D440A1" w:rsidP="00D440A1">
      <w:pPr>
        <w:pStyle w:val="NormalArial"/>
        <w:numPr>
          <w:ilvl w:val="0"/>
          <w:numId w:val="21"/>
        </w:numPr>
        <w:rPr>
          <w:sz w:val="20"/>
          <w:szCs w:val="20"/>
        </w:rPr>
      </w:pPr>
      <w:r w:rsidRPr="000C4A06">
        <w:rPr>
          <w:sz w:val="20"/>
          <w:szCs w:val="20"/>
        </w:rPr>
        <w:t>D</w:t>
      </w:r>
      <w:r w:rsidR="00DD5ADD">
        <w:rPr>
          <w:sz w:val="20"/>
          <w:szCs w:val="20"/>
        </w:rPr>
        <w:t>epression</w:t>
      </w:r>
    </w:p>
    <w:p w14:paraId="5ADDF8B9" w14:textId="77777777" w:rsidR="00D440A1" w:rsidRPr="000C4A06" w:rsidRDefault="00D440A1" w:rsidP="00D440A1">
      <w:pPr>
        <w:pStyle w:val="NormalArial"/>
        <w:numPr>
          <w:ilvl w:val="0"/>
          <w:numId w:val="21"/>
        </w:numPr>
        <w:rPr>
          <w:sz w:val="20"/>
          <w:szCs w:val="20"/>
        </w:rPr>
      </w:pPr>
      <w:r w:rsidRPr="000C4A06">
        <w:rPr>
          <w:sz w:val="20"/>
          <w:szCs w:val="20"/>
        </w:rPr>
        <w:t>F</w:t>
      </w:r>
      <w:r w:rsidR="00DD5ADD">
        <w:rPr>
          <w:sz w:val="20"/>
          <w:szCs w:val="20"/>
        </w:rPr>
        <w:t>ever</w:t>
      </w:r>
    </w:p>
    <w:p w14:paraId="109BBE28" w14:textId="77777777" w:rsidR="00D440A1" w:rsidRPr="000C4A06" w:rsidRDefault="00D440A1" w:rsidP="00D440A1">
      <w:pPr>
        <w:pStyle w:val="NormalArial"/>
        <w:numPr>
          <w:ilvl w:val="0"/>
          <w:numId w:val="21"/>
        </w:numPr>
        <w:rPr>
          <w:sz w:val="20"/>
          <w:szCs w:val="20"/>
        </w:rPr>
      </w:pPr>
      <w:r w:rsidRPr="000C4A06">
        <w:rPr>
          <w:sz w:val="20"/>
          <w:szCs w:val="20"/>
        </w:rPr>
        <w:t>Gastrointestinal discomfort</w:t>
      </w:r>
    </w:p>
    <w:p w14:paraId="41DABC0E" w14:textId="77777777" w:rsidR="00D440A1" w:rsidRPr="000C4A06" w:rsidRDefault="00D440A1" w:rsidP="00D440A1">
      <w:pPr>
        <w:pStyle w:val="NormalArial"/>
        <w:numPr>
          <w:ilvl w:val="0"/>
          <w:numId w:val="21"/>
        </w:numPr>
        <w:rPr>
          <w:sz w:val="20"/>
          <w:szCs w:val="20"/>
        </w:rPr>
      </w:pPr>
      <w:r w:rsidRPr="000C4A06">
        <w:rPr>
          <w:sz w:val="20"/>
          <w:szCs w:val="20"/>
        </w:rPr>
        <w:t>Hypertension/hypotension</w:t>
      </w:r>
    </w:p>
    <w:p w14:paraId="7F6D2F69" w14:textId="77777777" w:rsidR="00D440A1" w:rsidRPr="000C4A06" w:rsidRDefault="00D440A1" w:rsidP="00D440A1">
      <w:pPr>
        <w:pStyle w:val="NormalArial"/>
        <w:numPr>
          <w:ilvl w:val="0"/>
          <w:numId w:val="21"/>
        </w:numPr>
        <w:rPr>
          <w:sz w:val="20"/>
          <w:szCs w:val="20"/>
        </w:rPr>
      </w:pPr>
      <w:r w:rsidRPr="000C4A06">
        <w:rPr>
          <w:sz w:val="20"/>
          <w:szCs w:val="20"/>
        </w:rPr>
        <w:t>Increased risk of infection</w:t>
      </w:r>
    </w:p>
    <w:p w14:paraId="1AC0D68B" w14:textId="77777777" w:rsidR="00D440A1" w:rsidRPr="000C4A06" w:rsidRDefault="00D440A1" w:rsidP="00D440A1">
      <w:pPr>
        <w:pStyle w:val="NormalArial"/>
        <w:numPr>
          <w:ilvl w:val="0"/>
          <w:numId w:val="21"/>
        </w:numPr>
        <w:rPr>
          <w:sz w:val="20"/>
          <w:szCs w:val="20"/>
        </w:rPr>
      </w:pPr>
      <w:r w:rsidRPr="000C4A06">
        <w:rPr>
          <w:sz w:val="20"/>
          <w:szCs w:val="20"/>
        </w:rPr>
        <w:t>Infusion related reaction</w:t>
      </w:r>
    </w:p>
    <w:p w14:paraId="72F34EA9" w14:textId="77777777" w:rsidR="00D440A1" w:rsidRPr="000C4A06" w:rsidRDefault="00DD5ADD" w:rsidP="00D440A1">
      <w:pPr>
        <w:pStyle w:val="NormalArial"/>
        <w:numPr>
          <w:ilvl w:val="0"/>
          <w:numId w:val="21"/>
        </w:numPr>
        <w:rPr>
          <w:sz w:val="20"/>
          <w:szCs w:val="20"/>
        </w:rPr>
      </w:pPr>
      <w:r>
        <w:rPr>
          <w:sz w:val="20"/>
          <w:szCs w:val="20"/>
        </w:rPr>
        <w:t>Night sweats</w:t>
      </w:r>
    </w:p>
    <w:p w14:paraId="7B1DA420" w14:textId="77777777" w:rsidR="00D440A1" w:rsidRPr="000C4A06" w:rsidRDefault="00D440A1" w:rsidP="00D440A1">
      <w:pPr>
        <w:pStyle w:val="NormalArial"/>
        <w:rPr>
          <w:b/>
          <w:sz w:val="20"/>
          <w:szCs w:val="20"/>
        </w:rPr>
      </w:pPr>
      <w:r w:rsidRPr="000C4A06">
        <w:rPr>
          <w:b/>
          <w:sz w:val="20"/>
          <w:szCs w:val="20"/>
        </w:rPr>
        <w:t>Uncommon</w:t>
      </w:r>
    </w:p>
    <w:p w14:paraId="3B2E4DD8" w14:textId="77777777" w:rsidR="00D440A1" w:rsidRDefault="00DD5ADD" w:rsidP="00D440A1">
      <w:pPr>
        <w:pStyle w:val="NormalArial"/>
        <w:numPr>
          <w:ilvl w:val="0"/>
          <w:numId w:val="20"/>
        </w:numPr>
        <w:rPr>
          <w:sz w:val="20"/>
          <w:szCs w:val="20"/>
        </w:rPr>
      </w:pPr>
      <w:r>
        <w:rPr>
          <w:sz w:val="20"/>
          <w:szCs w:val="20"/>
        </w:rPr>
        <w:t>Haemolytic anaemia</w:t>
      </w:r>
    </w:p>
    <w:p w14:paraId="7A6D38CC" w14:textId="77777777" w:rsidR="00DD5ADD" w:rsidRPr="000C4A06" w:rsidRDefault="00DD5ADD" w:rsidP="00D440A1">
      <w:pPr>
        <w:pStyle w:val="NormalArial"/>
        <w:numPr>
          <w:ilvl w:val="0"/>
          <w:numId w:val="20"/>
        </w:numPr>
        <w:rPr>
          <w:sz w:val="20"/>
          <w:szCs w:val="20"/>
        </w:rPr>
      </w:pPr>
      <w:r>
        <w:rPr>
          <w:sz w:val="20"/>
          <w:szCs w:val="20"/>
        </w:rPr>
        <w:lastRenderedPageBreak/>
        <w:t>Progressive multifocal leukoencephalopathy</w:t>
      </w:r>
    </w:p>
    <w:p w14:paraId="4B28E870" w14:textId="77777777" w:rsidR="00D440A1" w:rsidRPr="000C4A06" w:rsidRDefault="00D440A1" w:rsidP="00D440A1">
      <w:pPr>
        <w:pStyle w:val="NormalArial"/>
        <w:rPr>
          <w:b/>
          <w:sz w:val="20"/>
          <w:szCs w:val="20"/>
        </w:rPr>
      </w:pPr>
      <w:r w:rsidRPr="000C4A06">
        <w:rPr>
          <w:b/>
          <w:sz w:val="20"/>
          <w:szCs w:val="20"/>
        </w:rPr>
        <w:t>Rare or very rare</w:t>
      </w:r>
    </w:p>
    <w:p w14:paraId="7B69F41D" w14:textId="77777777" w:rsidR="00D440A1" w:rsidRPr="000C4A06" w:rsidRDefault="00DD5ADD" w:rsidP="00D440A1">
      <w:pPr>
        <w:pStyle w:val="NormalArial"/>
        <w:numPr>
          <w:ilvl w:val="0"/>
          <w:numId w:val="19"/>
        </w:numPr>
        <w:rPr>
          <w:sz w:val="20"/>
          <w:szCs w:val="20"/>
        </w:rPr>
      </w:pPr>
      <w:r>
        <w:rPr>
          <w:sz w:val="20"/>
          <w:szCs w:val="20"/>
        </w:rPr>
        <w:t>Hepatitis reactivation</w:t>
      </w:r>
    </w:p>
    <w:p w14:paraId="2AC6FE2A" w14:textId="77777777" w:rsidR="00D00143" w:rsidRPr="000C4A06" w:rsidRDefault="00D00143" w:rsidP="00D00143">
      <w:pPr>
        <w:spacing w:after="0"/>
        <w:ind w:left="360"/>
        <w:rPr>
          <w:rFonts w:ascii="Arial" w:hAnsi="Arial" w:cs="Arial"/>
          <w:sz w:val="20"/>
          <w:szCs w:val="20"/>
        </w:rPr>
      </w:pPr>
    </w:p>
    <w:p w14:paraId="2F114E07" w14:textId="77777777" w:rsidR="00B6751E" w:rsidRDefault="00B6751E">
      <w:pPr>
        <w:rPr>
          <w:rFonts w:ascii="Arial" w:eastAsia="Times New Roman" w:hAnsi="Arial" w:cs="Arial"/>
          <w:b/>
          <w:bCs/>
          <w:sz w:val="20"/>
          <w:szCs w:val="20"/>
          <w:u w:val="single"/>
        </w:rPr>
      </w:pPr>
      <w:r>
        <w:rPr>
          <w:sz w:val="20"/>
          <w:szCs w:val="20"/>
        </w:rPr>
        <w:br w:type="page"/>
      </w:r>
    </w:p>
    <w:p w14:paraId="45EB21EF" w14:textId="77777777" w:rsidR="00D00143" w:rsidRPr="000C4A06" w:rsidRDefault="00D00143" w:rsidP="00D00143">
      <w:pPr>
        <w:pStyle w:val="BodyText2"/>
        <w:rPr>
          <w:sz w:val="20"/>
          <w:szCs w:val="20"/>
        </w:rPr>
      </w:pPr>
      <w:r w:rsidRPr="000C4A06">
        <w:rPr>
          <w:sz w:val="20"/>
          <w:szCs w:val="20"/>
        </w:rPr>
        <w:lastRenderedPageBreak/>
        <w:t xml:space="preserve">References: </w:t>
      </w:r>
    </w:p>
    <w:p w14:paraId="68819AEC" w14:textId="77777777" w:rsidR="006F199D" w:rsidRPr="000C4A06" w:rsidRDefault="006F199D" w:rsidP="00D00143">
      <w:pPr>
        <w:spacing w:after="0"/>
        <w:rPr>
          <w:rFonts w:ascii="Arial" w:hAnsi="Arial" w:cs="Arial"/>
          <w:sz w:val="20"/>
          <w:szCs w:val="20"/>
        </w:rPr>
      </w:pPr>
    </w:p>
    <w:p w14:paraId="4F214C6A" w14:textId="77777777" w:rsidR="00DD5ADD" w:rsidRPr="00091B2D" w:rsidRDefault="00DD5ADD" w:rsidP="00DD5ADD">
      <w:pPr>
        <w:pStyle w:val="ListParagraph"/>
        <w:numPr>
          <w:ilvl w:val="0"/>
          <w:numId w:val="24"/>
        </w:numPr>
        <w:spacing w:after="200"/>
        <w:rPr>
          <w:rFonts w:asciiTheme="minorHAnsi" w:hAnsiTheme="minorHAnsi" w:cs="Arial"/>
          <w:lang w:eastAsia="en-GB"/>
        </w:rPr>
      </w:pPr>
      <w:r w:rsidRPr="00091B2D">
        <w:rPr>
          <w:rFonts w:asciiTheme="minorHAnsi" w:hAnsiTheme="minorHAnsi" w:cs="Arial"/>
          <w:shd w:val="clear" w:color="auto" w:fill="FFFFFF"/>
        </w:rPr>
        <w:t xml:space="preserve">Joint Formulary Committee. </w:t>
      </w:r>
      <w:r w:rsidRPr="00091B2D">
        <w:rPr>
          <w:rStyle w:val="Emphasis"/>
          <w:rFonts w:asciiTheme="minorHAnsi" w:hAnsiTheme="minorHAnsi" w:cs="Arial"/>
          <w:shd w:val="clear" w:color="auto" w:fill="FFFFFF"/>
        </w:rPr>
        <w:t>British National Formulary</w:t>
      </w:r>
      <w:r w:rsidRPr="00091B2D">
        <w:rPr>
          <w:rFonts w:asciiTheme="minorHAnsi" w:hAnsiTheme="minorHAnsi" w:cs="Arial"/>
          <w:shd w:val="clear" w:color="auto" w:fill="FFFFFF"/>
        </w:rPr>
        <w:t xml:space="preserve"> (Online) London: BMJ Group and Pharmaceutical Press. Available at [http://www.medicinescomplete.com]. Accessed 10/12/19.</w:t>
      </w:r>
    </w:p>
    <w:p w14:paraId="4B7D61F0" w14:textId="77777777" w:rsidR="00DD5ADD" w:rsidRDefault="00DD5ADD" w:rsidP="00DD5ADD">
      <w:pPr>
        <w:pStyle w:val="ListParagraph"/>
        <w:numPr>
          <w:ilvl w:val="0"/>
          <w:numId w:val="24"/>
        </w:numPr>
        <w:spacing w:after="200"/>
        <w:rPr>
          <w:rFonts w:asciiTheme="minorHAnsi" w:hAnsiTheme="minorHAnsi" w:cs="Arial"/>
          <w:lang w:eastAsia="en-GB"/>
        </w:rPr>
      </w:pPr>
      <w:r>
        <w:rPr>
          <w:rFonts w:asciiTheme="minorHAnsi" w:hAnsiTheme="minorHAnsi" w:cs="Arial"/>
          <w:lang w:eastAsia="en-GB"/>
        </w:rPr>
        <w:t>Medusa IV Monographs (2019). Rituxima</w:t>
      </w:r>
      <w:r w:rsidRPr="00091B2D">
        <w:rPr>
          <w:rFonts w:asciiTheme="minorHAnsi" w:hAnsiTheme="minorHAnsi" w:cs="Arial"/>
          <w:lang w:eastAsia="en-GB"/>
        </w:rPr>
        <w:t>b. Available at [</w:t>
      </w:r>
      <w:hyperlink r:id="rId13" w:history="1">
        <w:r w:rsidRPr="00091B2D">
          <w:rPr>
            <w:rStyle w:val="Hyperlink"/>
            <w:rFonts w:asciiTheme="minorHAnsi" w:hAnsiTheme="minorHAnsi" w:cs="Arial"/>
          </w:rPr>
          <w:t>https://medusa.wales.nhs.uk/</w:t>
        </w:r>
      </w:hyperlink>
      <w:r w:rsidRPr="00091B2D">
        <w:rPr>
          <w:rFonts w:asciiTheme="minorHAnsi" w:hAnsiTheme="minorHAnsi" w:cs="Arial"/>
        </w:rPr>
        <w:t>]. Accessed 10/12/19.</w:t>
      </w:r>
    </w:p>
    <w:p w14:paraId="24230F74" w14:textId="77777777" w:rsidR="00DD5ADD" w:rsidRDefault="00DD5ADD" w:rsidP="00DD5ADD">
      <w:pPr>
        <w:pStyle w:val="ListParagraph"/>
        <w:numPr>
          <w:ilvl w:val="0"/>
          <w:numId w:val="24"/>
        </w:numPr>
        <w:spacing w:after="200"/>
        <w:rPr>
          <w:rFonts w:asciiTheme="minorHAnsi" w:hAnsiTheme="minorHAnsi" w:cs="Arial"/>
          <w:lang w:eastAsia="en-GB"/>
        </w:rPr>
      </w:pPr>
      <w:r w:rsidRPr="00DD5ADD">
        <w:rPr>
          <w:rFonts w:asciiTheme="minorHAnsi" w:hAnsiTheme="minorHAnsi" w:cs="Arial"/>
          <w:lang w:eastAsia="en-GB"/>
        </w:rPr>
        <w:t>BSPAR Guidelines on Rituximab use in Paediatric Rheumatology.</w:t>
      </w:r>
    </w:p>
    <w:p w14:paraId="701491C1" w14:textId="77777777" w:rsidR="00DD5ADD" w:rsidRPr="00DD5ADD" w:rsidRDefault="00DD5ADD" w:rsidP="5A29EE1F">
      <w:pPr>
        <w:pStyle w:val="ListParagraph"/>
        <w:numPr>
          <w:ilvl w:val="0"/>
          <w:numId w:val="24"/>
        </w:numPr>
        <w:rPr>
          <w:rFonts w:asciiTheme="minorHAnsi" w:hAnsiTheme="minorHAnsi" w:cs="Arial"/>
          <w:lang w:eastAsia="en-GB"/>
        </w:rPr>
      </w:pPr>
      <w:r w:rsidRPr="5A29EE1F">
        <w:rPr>
          <w:rFonts w:asciiTheme="minorHAnsi" w:hAnsiTheme="minorHAnsi" w:cs="Arial"/>
          <w:lang w:eastAsia="en-GB"/>
        </w:rPr>
        <w:t xml:space="preserve">Callaghan C, </w:t>
      </w:r>
      <w:proofErr w:type="spellStart"/>
      <w:r w:rsidRPr="5A29EE1F">
        <w:rPr>
          <w:rFonts w:asciiTheme="minorHAnsi" w:hAnsiTheme="minorHAnsi" w:cs="Arial"/>
          <w:lang w:eastAsia="en-GB"/>
        </w:rPr>
        <w:t>McRorie</w:t>
      </w:r>
      <w:proofErr w:type="spellEnd"/>
      <w:r w:rsidRPr="5A29EE1F">
        <w:rPr>
          <w:rFonts w:asciiTheme="minorHAnsi" w:hAnsiTheme="minorHAnsi" w:cs="Arial"/>
          <w:lang w:eastAsia="en-GB"/>
        </w:rPr>
        <w:t xml:space="preserve"> E. NHS Lothian Pharmacy Service/Rheumatic Diseases Unit Guidance for the use of rituximab. Version 6</w:t>
      </w:r>
    </w:p>
    <w:p w14:paraId="2225CFB8" w14:textId="2712B46B" w:rsidR="13DE63C7" w:rsidRDefault="13DE63C7" w:rsidP="5A29EE1F">
      <w:pPr>
        <w:pStyle w:val="ListParagraph"/>
        <w:numPr>
          <w:ilvl w:val="0"/>
          <w:numId w:val="24"/>
        </w:numPr>
        <w:rPr>
          <w:color w:val="333333"/>
          <w:sz w:val="25"/>
          <w:szCs w:val="25"/>
        </w:rPr>
      </w:pPr>
      <w:proofErr w:type="spellStart"/>
      <w:r w:rsidRPr="5A29EE1F">
        <w:rPr>
          <w:color w:val="333333"/>
          <w:sz w:val="25"/>
          <w:szCs w:val="25"/>
        </w:rPr>
        <w:t>Hellmich</w:t>
      </w:r>
      <w:proofErr w:type="spellEnd"/>
      <w:r w:rsidRPr="5A29EE1F">
        <w:rPr>
          <w:color w:val="333333"/>
          <w:sz w:val="25"/>
          <w:szCs w:val="25"/>
        </w:rPr>
        <w:t xml:space="preserve"> B, Sanchez-Alamo B, Schirmer JH</w:t>
      </w:r>
      <w:r w:rsidRPr="5A29EE1F">
        <w:rPr>
          <w:i/>
          <w:iCs/>
          <w:color w:val="333333"/>
          <w:sz w:val="25"/>
          <w:szCs w:val="25"/>
        </w:rPr>
        <w:t xml:space="preserve">, et al </w:t>
      </w:r>
      <w:r w:rsidRPr="5A29EE1F">
        <w:rPr>
          <w:color w:val="333333"/>
          <w:sz w:val="25"/>
          <w:szCs w:val="25"/>
        </w:rPr>
        <w:t xml:space="preserve">EULAR recommendations for the management of ANCA-associated vasculitis: 2022 update </w:t>
      </w:r>
      <w:r w:rsidRPr="5A29EE1F">
        <w:rPr>
          <w:i/>
          <w:iCs/>
          <w:color w:val="333333"/>
          <w:sz w:val="25"/>
          <w:szCs w:val="25"/>
        </w:rPr>
        <w:t xml:space="preserve">Annals of the Rheumatic Diseases </w:t>
      </w:r>
      <w:r w:rsidRPr="5A29EE1F">
        <w:rPr>
          <w:color w:val="333333"/>
          <w:sz w:val="25"/>
          <w:szCs w:val="25"/>
        </w:rPr>
        <w:t xml:space="preserve">Published Online First: 16 March 2023. </w:t>
      </w:r>
      <w:proofErr w:type="spellStart"/>
      <w:r w:rsidRPr="5A29EE1F">
        <w:rPr>
          <w:color w:val="333333"/>
          <w:sz w:val="25"/>
          <w:szCs w:val="25"/>
        </w:rPr>
        <w:t>doi</w:t>
      </w:r>
      <w:proofErr w:type="spellEnd"/>
      <w:r w:rsidRPr="5A29EE1F">
        <w:rPr>
          <w:color w:val="333333"/>
          <w:sz w:val="25"/>
          <w:szCs w:val="25"/>
        </w:rPr>
        <w:t>: 10.1136/ard-2022-223764</w:t>
      </w:r>
    </w:p>
    <w:p w14:paraId="22DAA8B4" w14:textId="61790DF2" w:rsidR="13DE63C7" w:rsidRDefault="13DE63C7" w:rsidP="5A29EE1F">
      <w:pPr>
        <w:pStyle w:val="ListParagraph"/>
        <w:numPr>
          <w:ilvl w:val="0"/>
          <w:numId w:val="24"/>
        </w:numPr>
        <w:rPr>
          <w:color w:val="000000" w:themeColor="text1"/>
        </w:rPr>
      </w:pPr>
      <w:r w:rsidRPr="5A29EE1F">
        <w:rPr>
          <w:rFonts w:ascii="Source Sans Pro" w:eastAsia="Source Sans Pro" w:hAnsi="Source Sans Pro" w:cs="Source Sans Pro"/>
          <w:color w:val="2A2A2A"/>
          <w:sz w:val="22"/>
          <w:szCs w:val="22"/>
        </w:rPr>
        <w:t xml:space="preserve">Silvia </w:t>
      </w:r>
      <w:proofErr w:type="spellStart"/>
      <w:r w:rsidRPr="5A29EE1F">
        <w:rPr>
          <w:rFonts w:ascii="Source Sans Pro" w:eastAsia="Source Sans Pro" w:hAnsi="Source Sans Pro" w:cs="Source Sans Pro"/>
          <w:color w:val="2A2A2A"/>
          <w:sz w:val="22"/>
          <w:szCs w:val="22"/>
        </w:rPr>
        <w:t>Piantoni</w:t>
      </w:r>
      <w:proofErr w:type="spellEnd"/>
      <w:r w:rsidRPr="5A29EE1F">
        <w:rPr>
          <w:rFonts w:ascii="Source Sans Pro" w:eastAsia="Source Sans Pro" w:hAnsi="Source Sans Pro" w:cs="Source Sans Pro"/>
          <w:color w:val="2A2A2A"/>
          <w:sz w:val="22"/>
          <w:szCs w:val="22"/>
        </w:rPr>
        <w:t xml:space="preserve">, Peter Korsten, Rituximab—a B cell targeted therapy in systemic lupus erythematosus: where do we stand?, </w:t>
      </w:r>
      <w:r w:rsidRPr="5A29EE1F">
        <w:rPr>
          <w:rFonts w:ascii="Source Sans Pro" w:eastAsia="Source Sans Pro" w:hAnsi="Source Sans Pro" w:cs="Source Sans Pro"/>
          <w:i/>
          <w:iCs/>
          <w:color w:val="2A2A2A"/>
          <w:sz w:val="22"/>
          <w:szCs w:val="22"/>
        </w:rPr>
        <w:t>Rheumatology</w:t>
      </w:r>
      <w:r w:rsidRPr="5A29EE1F">
        <w:rPr>
          <w:rFonts w:ascii="Source Sans Pro" w:eastAsia="Source Sans Pro" w:hAnsi="Source Sans Pro" w:cs="Source Sans Pro"/>
          <w:color w:val="2A2A2A"/>
          <w:sz w:val="22"/>
          <w:szCs w:val="22"/>
        </w:rPr>
        <w:t xml:space="preserve">, Volume 61, Issue 5, May 2022, Pages 1752–1755, </w:t>
      </w:r>
      <w:hyperlink r:id="rId14">
        <w:r w:rsidRPr="5A29EE1F">
          <w:rPr>
            <w:rStyle w:val="Hyperlink"/>
            <w:rFonts w:ascii="Source Sans Pro" w:eastAsia="Source Sans Pro" w:hAnsi="Source Sans Pro" w:cs="Source Sans Pro"/>
            <w:sz w:val="22"/>
            <w:szCs w:val="22"/>
          </w:rPr>
          <w:t>https://doi.org/10.1093/rheumatology/keac095</w:t>
        </w:r>
      </w:hyperlink>
    </w:p>
    <w:p w14:paraId="4C14EF13" w14:textId="647B2586" w:rsidR="13DE63C7" w:rsidRDefault="13DE63C7" w:rsidP="5A29EE1F">
      <w:pPr>
        <w:pStyle w:val="ListParagraph"/>
        <w:numPr>
          <w:ilvl w:val="0"/>
          <w:numId w:val="24"/>
        </w:numPr>
        <w:rPr>
          <w:color w:val="000000" w:themeColor="text1"/>
        </w:rPr>
      </w:pPr>
      <w:r w:rsidRPr="5A29EE1F">
        <w:rPr>
          <w:color w:val="000000" w:themeColor="text1"/>
        </w:rPr>
        <w:t xml:space="preserve">Mahmoud, Ines, PhD, </w:t>
      </w:r>
      <w:proofErr w:type="spellStart"/>
      <w:r w:rsidRPr="5A29EE1F">
        <w:rPr>
          <w:color w:val="000000" w:themeColor="text1"/>
        </w:rPr>
        <w:t>Jellouli</w:t>
      </w:r>
      <w:proofErr w:type="spellEnd"/>
      <w:r w:rsidRPr="5A29EE1F">
        <w:rPr>
          <w:color w:val="000000" w:themeColor="text1"/>
        </w:rPr>
        <w:t xml:space="preserve">, Manel, MD, </w:t>
      </w:r>
      <w:proofErr w:type="spellStart"/>
      <w:r w:rsidRPr="5A29EE1F">
        <w:rPr>
          <w:color w:val="000000" w:themeColor="text1"/>
        </w:rPr>
        <w:t>Boukhris</w:t>
      </w:r>
      <w:proofErr w:type="spellEnd"/>
      <w:r w:rsidRPr="5A29EE1F">
        <w:rPr>
          <w:color w:val="000000" w:themeColor="text1"/>
        </w:rPr>
        <w:t xml:space="preserve">, </w:t>
      </w:r>
      <w:proofErr w:type="spellStart"/>
      <w:r w:rsidRPr="5A29EE1F">
        <w:rPr>
          <w:color w:val="000000" w:themeColor="text1"/>
        </w:rPr>
        <w:t>Imen</w:t>
      </w:r>
      <w:proofErr w:type="spellEnd"/>
      <w:r w:rsidRPr="5A29EE1F">
        <w:rPr>
          <w:color w:val="000000" w:themeColor="text1"/>
        </w:rPr>
        <w:t xml:space="preserve">, PhD, </w:t>
      </w:r>
      <w:proofErr w:type="spellStart"/>
      <w:r w:rsidRPr="5A29EE1F">
        <w:rPr>
          <w:color w:val="000000" w:themeColor="text1"/>
        </w:rPr>
        <w:t>Charfi</w:t>
      </w:r>
      <w:proofErr w:type="spellEnd"/>
      <w:r w:rsidRPr="5A29EE1F">
        <w:rPr>
          <w:color w:val="000000" w:themeColor="text1"/>
        </w:rPr>
        <w:t xml:space="preserve">, Rim, MD, Ben </w:t>
      </w:r>
      <w:proofErr w:type="spellStart"/>
      <w:r w:rsidRPr="5A29EE1F">
        <w:rPr>
          <w:color w:val="000000" w:themeColor="text1"/>
        </w:rPr>
        <w:t>Tekaya</w:t>
      </w:r>
      <w:proofErr w:type="spellEnd"/>
      <w:r w:rsidRPr="5A29EE1F">
        <w:rPr>
          <w:color w:val="000000" w:themeColor="text1"/>
        </w:rPr>
        <w:t xml:space="preserve">, </w:t>
      </w:r>
      <w:proofErr w:type="spellStart"/>
      <w:r w:rsidRPr="5A29EE1F">
        <w:rPr>
          <w:color w:val="000000" w:themeColor="text1"/>
        </w:rPr>
        <w:t>Aicha</w:t>
      </w:r>
      <w:proofErr w:type="spellEnd"/>
      <w:r w:rsidRPr="5A29EE1F">
        <w:rPr>
          <w:color w:val="000000" w:themeColor="text1"/>
        </w:rPr>
        <w:t xml:space="preserve">, MD, </w:t>
      </w:r>
      <w:proofErr w:type="spellStart"/>
      <w:r w:rsidRPr="5A29EE1F">
        <w:rPr>
          <w:color w:val="000000" w:themeColor="text1"/>
        </w:rPr>
        <w:t>Saidane</w:t>
      </w:r>
      <w:proofErr w:type="spellEnd"/>
      <w:r w:rsidRPr="5A29EE1F">
        <w:rPr>
          <w:color w:val="000000" w:themeColor="text1"/>
        </w:rPr>
        <w:t xml:space="preserve">, </w:t>
      </w:r>
      <w:proofErr w:type="spellStart"/>
      <w:r w:rsidRPr="5A29EE1F">
        <w:rPr>
          <w:color w:val="000000" w:themeColor="text1"/>
        </w:rPr>
        <w:t>Olfa</w:t>
      </w:r>
      <w:proofErr w:type="spellEnd"/>
      <w:r w:rsidRPr="5A29EE1F">
        <w:rPr>
          <w:color w:val="000000" w:themeColor="text1"/>
        </w:rPr>
        <w:t xml:space="preserve">, MD, </w:t>
      </w:r>
      <w:proofErr w:type="spellStart"/>
      <w:r w:rsidRPr="5A29EE1F">
        <w:rPr>
          <w:color w:val="000000" w:themeColor="text1"/>
        </w:rPr>
        <w:t>Ferjani</w:t>
      </w:r>
      <w:proofErr w:type="spellEnd"/>
      <w:r w:rsidRPr="5A29EE1F">
        <w:rPr>
          <w:color w:val="000000" w:themeColor="text1"/>
        </w:rPr>
        <w:t xml:space="preserve">, </w:t>
      </w:r>
      <w:proofErr w:type="spellStart"/>
      <w:r w:rsidRPr="5A29EE1F">
        <w:rPr>
          <w:color w:val="000000" w:themeColor="text1"/>
        </w:rPr>
        <w:t>Maryem</w:t>
      </w:r>
      <w:proofErr w:type="spellEnd"/>
      <w:r w:rsidRPr="5A29EE1F">
        <w:rPr>
          <w:color w:val="000000" w:themeColor="text1"/>
        </w:rPr>
        <w:t xml:space="preserve">, MD, </w:t>
      </w:r>
      <w:proofErr w:type="spellStart"/>
      <w:r w:rsidRPr="5A29EE1F">
        <w:rPr>
          <w:color w:val="000000" w:themeColor="text1"/>
        </w:rPr>
        <w:t>Hammi</w:t>
      </w:r>
      <w:proofErr w:type="spellEnd"/>
      <w:r w:rsidRPr="5A29EE1F">
        <w:rPr>
          <w:color w:val="000000" w:themeColor="text1"/>
        </w:rPr>
        <w:t xml:space="preserve">, </w:t>
      </w:r>
      <w:proofErr w:type="spellStart"/>
      <w:r w:rsidRPr="5A29EE1F">
        <w:rPr>
          <w:color w:val="000000" w:themeColor="text1"/>
        </w:rPr>
        <w:t>Yousra</w:t>
      </w:r>
      <w:proofErr w:type="spellEnd"/>
      <w:r w:rsidRPr="5A29EE1F">
        <w:rPr>
          <w:color w:val="000000" w:themeColor="text1"/>
        </w:rPr>
        <w:t xml:space="preserve">, MD, </w:t>
      </w:r>
      <w:proofErr w:type="spellStart"/>
      <w:r w:rsidRPr="5A29EE1F">
        <w:rPr>
          <w:color w:val="000000" w:themeColor="text1"/>
        </w:rPr>
        <w:t>Trabelsi</w:t>
      </w:r>
      <w:proofErr w:type="spellEnd"/>
      <w:r w:rsidRPr="5A29EE1F">
        <w:rPr>
          <w:color w:val="000000" w:themeColor="text1"/>
        </w:rPr>
        <w:t xml:space="preserve">, </w:t>
      </w:r>
      <w:proofErr w:type="spellStart"/>
      <w:r w:rsidRPr="5A29EE1F">
        <w:rPr>
          <w:color w:val="000000" w:themeColor="text1"/>
        </w:rPr>
        <w:t>Sameh</w:t>
      </w:r>
      <w:proofErr w:type="spellEnd"/>
      <w:r w:rsidRPr="5A29EE1F">
        <w:rPr>
          <w:color w:val="000000" w:themeColor="text1"/>
        </w:rPr>
        <w:t xml:space="preserve">, PhD, </w:t>
      </w:r>
      <w:proofErr w:type="spellStart"/>
      <w:r w:rsidRPr="5A29EE1F">
        <w:rPr>
          <w:color w:val="000000" w:themeColor="text1"/>
        </w:rPr>
        <w:t>Khalfallah</w:t>
      </w:r>
      <w:proofErr w:type="spellEnd"/>
      <w:r w:rsidRPr="5A29EE1F">
        <w:rPr>
          <w:color w:val="000000" w:themeColor="text1"/>
        </w:rPr>
        <w:t xml:space="preserve">, </w:t>
      </w:r>
      <w:proofErr w:type="spellStart"/>
      <w:r w:rsidRPr="5A29EE1F">
        <w:rPr>
          <w:color w:val="000000" w:themeColor="text1"/>
        </w:rPr>
        <w:t>Narjess</w:t>
      </w:r>
      <w:proofErr w:type="spellEnd"/>
      <w:r w:rsidRPr="5A29EE1F">
        <w:rPr>
          <w:color w:val="000000" w:themeColor="text1"/>
        </w:rPr>
        <w:t xml:space="preserve">, PhD, </w:t>
      </w:r>
      <w:proofErr w:type="spellStart"/>
      <w:r w:rsidRPr="5A29EE1F">
        <w:rPr>
          <w:color w:val="000000" w:themeColor="text1"/>
        </w:rPr>
        <w:t>Tekaya</w:t>
      </w:r>
      <w:proofErr w:type="spellEnd"/>
      <w:r w:rsidRPr="5A29EE1F">
        <w:rPr>
          <w:color w:val="000000" w:themeColor="text1"/>
        </w:rPr>
        <w:t xml:space="preserve">, </w:t>
      </w:r>
      <w:proofErr w:type="spellStart"/>
      <w:r w:rsidRPr="5A29EE1F">
        <w:rPr>
          <w:color w:val="000000" w:themeColor="text1"/>
        </w:rPr>
        <w:t>Rawdha</w:t>
      </w:r>
      <w:proofErr w:type="spellEnd"/>
      <w:r w:rsidRPr="5A29EE1F">
        <w:rPr>
          <w:color w:val="000000" w:themeColor="text1"/>
        </w:rPr>
        <w:t xml:space="preserve">, PhD, </w:t>
      </w:r>
      <w:proofErr w:type="spellStart"/>
      <w:r w:rsidRPr="5A29EE1F">
        <w:rPr>
          <w:color w:val="000000" w:themeColor="text1"/>
        </w:rPr>
        <w:t>Gargah</w:t>
      </w:r>
      <w:proofErr w:type="spellEnd"/>
      <w:r w:rsidRPr="5A29EE1F">
        <w:rPr>
          <w:color w:val="000000" w:themeColor="text1"/>
        </w:rPr>
        <w:t xml:space="preserve">, Tahar, PhD, &amp; </w:t>
      </w:r>
      <w:proofErr w:type="spellStart"/>
      <w:r w:rsidRPr="5A29EE1F">
        <w:rPr>
          <w:color w:val="000000" w:themeColor="text1"/>
        </w:rPr>
        <w:t>Abdelmoula</w:t>
      </w:r>
      <w:proofErr w:type="spellEnd"/>
      <w:r w:rsidRPr="5A29EE1F">
        <w:rPr>
          <w:color w:val="000000" w:themeColor="text1"/>
        </w:rPr>
        <w:t xml:space="preserve">, Leila, PhD. (2017). Efficacy and Safety of Rituximab in the Management of </w:t>
      </w:r>
      <w:proofErr w:type="spellStart"/>
      <w:r w:rsidRPr="5A29EE1F">
        <w:rPr>
          <w:color w:val="000000" w:themeColor="text1"/>
        </w:rPr>
        <w:t>Pediatric</w:t>
      </w:r>
      <w:proofErr w:type="spellEnd"/>
      <w:r w:rsidRPr="5A29EE1F">
        <w:rPr>
          <w:color w:val="000000" w:themeColor="text1"/>
        </w:rPr>
        <w:t xml:space="preserve"> Systemic Lupus Erythematosus: A Systematic Review. The Journal of </w:t>
      </w:r>
      <w:proofErr w:type="spellStart"/>
      <w:r w:rsidRPr="5A29EE1F">
        <w:rPr>
          <w:color w:val="000000" w:themeColor="text1"/>
        </w:rPr>
        <w:t>Pediatrics</w:t>
      </w:r>
      <w:proofErr w:type="spellEnd"/>
      <w:r w:rsidRPr="5A29EE1F">
        <w:rPr>
          <w:color w:val="000000" w:themeColor="text1"/>
        </w:rPr>
        <w:t xml:space="preserve">, 187, 213–219.e2. </w:t>
      </w:r>
      <w:hyperlink r:id="rId15">
        <w:r w:rsidRPr="5A29EE1F">
          <w:rPr>
            <w:rStyle w:val="Hyperlink"/>
          </w:rPr>
          <w:t>https://doi.org/10.1016/j.jpeds.2017.05.002</w:t>
        </w:r>
      </w:hyperlink>
    </w:p>
    <w:p w14:paraId="3B04183F" w14:textId="6FA4A12D" w:rsidR="13DE63C7" w:rsidRDefault="13DE63C7" w:rsidP="5A29EE1F">
      <w:pPr>
        <w:pStyle w:val="ListParagraph"/>
        <w:numPr>
          <w:ilvl w:val="0"/>
          <w:numId w:val="24"/>
        </w:numPr>
        <w:rPr>
          <w:color w:val="000000" w:themeColor="text1"/>
        </w:rPr>
      </w:pPr>
      <w:r w:rsidRPr="5A29EE1F">
        <w:rPr>
          <w:color w:val="000000" w:themeColor="text1"/>
        </w:rPr>
        <w:t xml:space="preserve">Sawhney, &amp; Agarwal, M. (2021). Rituximab use in </w:t>
      </w:r>
      <w:proofErr w:type="spellStart"/>
      <w:r w:rsidRPr="5A29EE1F">
        <w:rPr>
          <w:color w:val="000000" w:themeColor="text1"/>
        </w:rPr>
        <w:t>pediatric</w:t>
      </w:r>
      <w:proofErr w:type="spellEnd"/>
      <w:r w:rsidRPr="5A29EE1F">
        <w:rPr>
          <w:color w:val="000000" w:themeColor="text1"/>
        </w:rPr>
        <w:t xml:space="preserve"> systemic lupus erythematosus: Indications, </w:t>
      </w:r>
      <w:proofErr w:type="gramStart"/>
      <w:r w:rsidRPr="5A29EE1F">
        <w:rPr>
          <w:color w:val="000000" w:themeColor="text1"/>
        </w:rPr>
        <w:t>efficacy</w:t>
      </w:r>
      <w:proofErr w:type="gramEnd"/>
      <w:r w:rsidRPr="5A29EE1F">
        <w:rPr>
          <w:color w:val="000000" w:themeColor="text1"/>
        </w:rPr>
        <w:t xml:space="preserve"> and safety in an Indian cohort. Lupus, 30(11), 1829–1836. </w:t>
      </w:r>
      <w:hyperlink r:id="rId16">
        <w:r w:rsidRPr="5A29EE1F">
          <w:rPr>
            <w:rStyle w:val="Hyperlink"/>
          </w:rPr>
          <w:t>https://doi.org/10.1177/09612033211034567</w:t>
        </w:r>
      </w:hyperlink>
    </w:p>
    <w:p w14:paraId="3C46F019" w14:textId="4883063C" w:rsidR="5A29EE1F" w:rsidRDefault="5A29EE1F" w:rsidP="5A29EE1F">
      <w:pPr>
        <w:pStyle w:val="ListParagraph"/>
        <w:numPr>
          <w:ilvl w:val="0"/>
          <w:numId w:val="24"/>
        </w:numPr>
        <w:rPr>
          <w:lang w:eastAsia="en-GB"/>
        </w:rPr>
      </w:pPr>
    </w:p>
    <w:p w14:paraId="6028974A" w14:textId="77777777" w:rsidR="00DD5ADD" w:rsidRPr="00F16BAA" w:rsidRDefault="00DD5ADD" w:rsidP="00DD5ADD">
      <w:pPr>
        <w:pStyle w:val="ListParagraph"/>
        <w:spacing w:after="200"/>
        <w:ind w:left="1080"/>
        <w:rPr>
          <w:rFonts w:asciiTheme="minorHAnsi" w:hAnsiTheme="minorHAnsi" w:cs="Arial"/>
          <w:lang w:eastAsia="en-GB"/>
        </w:rPr>
      </w:pPr>
    </w:p>
    <w:p w14:paraId="1040ED98" w14:textId="77777777" w:rsidR="00D00143" w:rsidRPr="000C4A06" w:rsidRDefault="00D00143" w:rsidP="00D00143">
      <w:pPr>
        <w:spacing w:after="0"/>
        <w:rPr>
          <w:rFonts w:ascii="Arial" w:hAnsi="Arial" w:cs="Arial"/>
          <w:sz w:val="20"/>
          <w:szCs w:val="20"/>
        </w:rPr>
      </w:pPr>
    </w:p>
    <w:p w14:paraId="25E78F6D" w14:textId="77777777" w:rsidR="00D00143" w:rsidRPr="000C4A06" w:rsidRDefault="00D00143" w:rsidP="00D00143">
      <w:pPr>
        <w:spacing w:after="0"/>
        <w:rPr>
          <w:rFonts w:ascii="Arial" w:hAnsi="Arial" w:cs="Arial"/>
          <w:b/>
          <w:sz w:val="20"/>
          <w:szCs w:val="20"/>
          <w:u w:val="single"/>
        </w:rPr>
      </w:pPr>
      <w:r w:rsidRPr="000C4A06">
        <w:rPr>
          <w:rFonts w:ascii="Arial" w:hAnsi="Arial" w:cs="Arial"/>
          <w:b/>
          <w:sz w:val="20"/>
          <w:szCs w:val="20"/>
          <w:u w:val="single"/>
        </w:rPr>
        <w:t>Authors:</w:t>
      </w:r>
    </w:p>
    <w:p w14:paraId="3F760CB5" w14:textId="77777777" w:rsidR="00D00143" w:rsidRPr="000C4A06" w:rsidRDefault="00D00143" w:rsidP="00D00143">
      <w:pPr>
        <w:rPr>
          <w:rFonts w:ascii="Arial" w:hAnsi="Arial" w:cs="Arial"/>
          <w:sz w:val="20"/>
          <w:szCs w:val="20"/>
        </w:rPr>
      </w:pPr>
    </w:p>
    <w:p w14:paraId="2ED259DD" w14:textId="77777777" w:rsidR="00D00143" w:rsidRPr="000C4A06" w:rsidRDefault="00D00143" w:rsidP="00D00143">
      <w:pPr>
        <w:rPr>
          <w:rFonts w:ascii="Arial" w:hAnsi="Arial" w:cs="Arial"/>
          <w:sz w:val="20"/>
          <w:szCs w:val="20"/>
        </w:rPr>
      </w:pPr>
    </w:p>
    <w:p w14:paraId="56CE5285" w14:textId="77777777" w:rsidR="000C4A06" w:rsidRDefault="000C4A06" w:rsidP="008D78BB">
      <w:pPr>
        <w:spacing w:after="0"/>
        <w:rPr>
          <w:rFonts w:ascii="Arial" w:hAnsi="Arial" w:cs="Arial"/>
          <w:i/>
          <w:sz w:val="20"/>
          <w:szCs w:val="20"/>
        </w:rPr>
      </w:pPr>
    </w:p>
    <w:p w14:paraId="44408CFC" w14:textId="77777777" w:rsidR="000C4A06" w:rsidRDefault="000C4A06" w:rsidP="008D78BB">
      <w:pPr>
        <w:spacing w:after="0"/>
        <w:rPr>
          <w:rFonts w:ascii="Arial" w:hAnsi="Arial" w:cs="Arial"/>
          <w:i/>
          <w:sz w:val="20"/>
          <w:szCs w:val="20"/>
        </w:rPr>
      </w:pPr>
    </w:p>
    <w:p w14:paraId="7B6D8320" w14:textId="77777777" w:rsidR="008D78BB" w:rsidRPr="000C4A06" w:rsidRDefault="008D78BB" w:rsidP="008D78BB">
      <w:pPr>
        <w:spacing w:after="0"/>
        <w:rPr>
          <w:rFonts w:ascii="Arial" w:hAnsi="Arial" w:cs="Arial"/>
          <w:i/>
          <w:sz w:val="20"/>
          <w:szCs w:val="20"/>
        </w:rPr>
      </w:pPr>
      <w:r w:rsidRPr="000C4A06">
        <w:rPr>
          <w:rFonts w:ascii="Arial" w:hAnsi="Arial" w:cs="Arial"/>
          <w:i/>
          <w:sz w:val="20"/>
          <w:szCs w:val="20"/>
        </w:rPr>
        <w:t>NOTE</w:t>
      </w:r>
    </w:p>
    <w:p w14:paraId="334C4BD3" w14:textId="77777777" w:rsidR="00EE4195" w:rsidRPr="000C4A06" w:rsidRDefault="008D78BB" w:rsidP="008D78BB">
      <w:pPr>
        <w:spacing w:after="0"/>
        <w:rPr>
          <w:rFonts w:ascii="Arial" w:hAnsi="Arial" w:cs="Arial"/>
          <w:sz w:val="20"/>
          <w:szCs w:val="20"/>
        </w:rPr>
      </w:pPr>
      <w:r w:rsidRPr="000C4A06">
        <w:rPr>
          <w:rFonts w:ascii="Arial" w:hAnsi="Arial" w:cs="Arial"/>
          <w:i/>
          <w:color w:val="000000"/>
          <w:sz w:val="20"/>
          <w:szCs w:val="20"/>
        </w:rPr>
        <w:t xml:space="preserve">This guideline is not intended to be construed or to serve as a standard of care. Standards of care are determined </w:t>
      </w:r>
      <w:proofErr w:type="gramStart"/>
      <w:r w:rsidRPr="000C4A06">
        <w:rPr>
          <w:rFonts w:ascii="Arial" w:hAnsi="Arial" w:cs="Arial"/>
          <w:i/>
          <w:color w:val="000000"/>
          <w:sz w:val="20"/>
          <w:szCs w:val="20"/>
        </w:rPr>
        <w:t>on the basis of</w:t>
      </w:r>
      <w:proofErr w:type="gramEnd"/>
      <w:r w:rsidRPr="000C4A06">
        <w:rPr>
          <w:rFonts w:ascii="Arial" w:hAnsi="Arial" w:cs="Arial"/>
          <w:i/>
          <w:color w:val="000000"/>
          <w:sz w:val="20"/>
          <w:szCs w:val="20"/>
        </w:rPr>
        <w:t xml:space="preserve"> all clinical data available for an individual case and are subject to change as scientific knowledge and technology advance and patterns of care evolve. Adherence to guideline recommendations will not ensure a successful outcome in every case, nor should they be construed as including all proper methods of care or excluding other acceptable methods of care aimed at the same results. The ultimate judgement must be made by the appropriate healthcare professional(s) responsible for clinical decisions regarding a particular clinical procedure or treatment plan. This judgement should only be arrived at following discussion of the options with the patient, covering the diagnostic and treatment choices available. It is advised, however, that significant departures from the </w:t>
      </w:r>
      <w:r w:rsidRPr="000C4A06">
        <w:rPr>
          <w:rFonts w:ascii="Arial" w:hAnsi="Arial" w:cs="Arial"/>
          <w:i/>
          <w:color w:val="000000"/>
          <w:sz w:val="20"/>
          <w:szCs w:val="20"/>
        </w:rPr>
        <w:lastRenderedPageBreak/>
        <w:t>national guideline or any local guidelines derived from it should be fully documented in the patient’s case notes at the time the relevant decision is taken.</w:t>
      </w:r>
    </w:p>
    <w:sectPr w:rsidR="00EE4195" w:rsidRPr="000C4A06" w:rsidSect="00EE4195">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14985" w14:textId="77777777" w:rsidR="000420E7" w:rsidRDefault="000420E7" w:rsidP="00B61AD9">
      <w:pPr>
        <w:spacing w:after="0" w:line="240" w:lineRule="auto"/>
      </w:pPr>
      <w:r>
        <w:separator/>
      </w:r>
    </w:p>
  </w:endnote>
  <w:endnote w:type="continuationSeparator" w:id="0">
    <w:p w14:paraId="0A3A8F45" w14:textId="77777777" w:rsidR="000420E7" w:rsidRDefault="000420E7" w:rsidP="00B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0360"/>
      <w:docPartObj>
        <w:docPartGallery w:val="Page Numbers (Bottom of Page)"/>
        <w:docPartUnique/>
      </w:docPartObj>
    </w:sdtPr>
    <w:sdtEndPr/>
    <w:sdtContent>
      <w:sdt>
        <w:sdtPr>
          <w:id w:val="565050477"/>
          <w:docPartObj>
            <w:docPartGallery w:val="Page Numbers (Top of Page)"/>
            <w:docPartUnique/>
          </w:docPartObj>
        </w:sdtPr>
        <w:sdtEndPr/>
        <w:sdtContent>
          <w:p w14:paraId="69900F4C" w14:textId="4677322E" w:rsidR="009F677F" w:rsidRPr="0069504A" w:rsidRDefault="009F677F" w:rsidP="00AA0C8F">
            <w:pPr>
              <w:pStyle w:val="Footer"/>
              <w:rPr>
                <w:rFonts w:ascii="Arial" w:hAnsi="Arial" w:cs="Arial"/>
                <w:b/>
                <w:bCs/>
                <w:sz w:val="18"/>
              </w:rPr>
            </w:pPr>
            <w:r w:rsidRPr="0069504A">
              <w:rPr>
                <w:rFonts w:ascii="Arial" w:hAnsi="Arial" w:cs="Arial"/>
                <w:b/>
                <w:bCs/>
                <w:noProof/>
                <w:sz w:val="18"/>
                <w:lang w:eastAsia="en-GB"/>
              </w:rPr>
              <w:drawing>
                <wp:anchor distT="0" distB="0" distL="114300" distR="114300" simplePos="0" relativeHeight="251657215" behindDoc="1" locked="0" layoutInCell="1" allowOverlap="1" wp14:anchorId="44F54123" wp14:editId="0FD0B209">
                  <wp:simplePos x="0" y="0"/>
                  <wp:positionH relativeFrom="margin">
                    <wp:posOffset>1313180</wp:posOffset>
                  </wp:positionH>
                  <wp:positionV relativeFrom="margin">
                    <wp:posOffset>8549640</wp:posOffset>
                  </wp:positionV>
                  <wp:extent cx="5342890" cy="1221105"/>
                  <wp:effectExtent l="19050" t="0" r="0" b="0"/>
                  <wp:wrapSquare wrapText="bothSides"/>
                  <wp:docPr id="2" name="Picture 1" descr="C:\Users\paolil01\Desktop\Email Template  Shared Services\caring hand-03.jpg"/>
                  <wp:cNvGraphicFramePr/>
                  <a:graphic xmlns:a="http://schemas.openxmlformats.org/drawingml/2006/main">
                    <a:graphicData uri="http://schemas.openxmlformats.org/drawingml/2006/picture">
                      <pic:pic xmlns:pic="http://schemas.openxmlformats.org/drawingml/2006/picture">
                        <pic:nvPicPr>
                          <pic:cNvPr id="3" name="Picture 3" descr="C:\Users\paolil01\Desktop\Email Template  Shared Services\caring hand-03.jpg"/>
                          <pic:cNvPicPr>
                            <a:picLocks noChangeAspect="1" noChangeArrowheads="1"/>
                          </pic:cNvPicPr>
                        </pic:nvPicPr>
                        <pic:blipFill>
                          <a:blip r:embed="rId1" cstate="print"/>
                          <a:srcRect t="24536" r="10818" b="22063"/>
                          <a:stretch>
                            <a:fillRect/>
                          </a:stretch>
                        </pic:blipFill>
                        <pic:spPr bwMode="auto">
                          <a:xfrm>
                            <a:off x="0" y="0"/>
                            <a:ext cx="5342890" cy="1221105"/>
                          </a:xfrm>
                          <a:prstGeom prst="rect">
                            <a:avLst/>
                          </a:prstGeom>
                          <a:noFill/>
                        </pic:spPr>
                      </pic:pic>
                    </a:graphicData>
                  </a:graphic>
                </wp:anchor>
              </w:drawing>
            </w:r>
            <w:proofErr w:type="gramStart"/>
            <w:r w:rsidR="0069504A" w:rsidRPr="0069504A">
              <w:rPr>
                <w:b/>
                <w:bCs/>
              </w:rPr>
              <w:t>?</w:t>
            </w:r>
            <w:r w:rsidRPr="0069504A">
              <w:rPr>
                <w:rFonts w:ascii="Arial" w:hAnsi="Arial" w:cs="Arial"/>
                <w:b/>
                <w:bCs/>
                <w:sz w:val="18"/>
              </w:rPr>
              <w:t>Approved</w:t>
            </w:r>
            <w:proofErr w:type="gramEnd"/>
            <w:r w:rsidRPr="0069504A">
              <w:rPr>
                <w:rFonts w:ascii="Arial" w:hAnsi="Arial" w:cs="Arial"/>
                <w:b/>
                <w:bCs/>
                <w:sz w:val="18"/>
              </w:rPr>
              <w:t xml:space="preserve"> </w:t>
            </w:r>
            <w:r w:rsidR="002E3D7C" w:rsidRPr="0069504A">
              <w:rPr>
                <w:rFonts w:ascii="Arial" w:hAnsi="Arial" w:cs="Arial"/>
                <w:b/>
                <w:bCs/>
                <w:sz w:val="18"/>
              </w:rPr>
              <w:t>June 2023</w:t>
            </w:r>
          </w:p>
          <w:p w14:paraId="56A7C7AD" w14:textId="67C59D0A" w:rsidR="009F677F" w:rsidRPr="0069504A" w:rsidRDefault="009F677F" w:rsidP="00AA0C8F">
            <w:pPr>
              <w:pStyle w:val="Footer"/>
              <w:rPr>
                <w:rFonts w:ascii="Arial" w:hAnsi="Arial" w:cs="Arial"/>
                <w:b/>
                <w:bCs/>
                <w:sz w:val="18"/>
              </w:rPr>
            </w:pPr>
            <w:r w:rsidRPr="0069504A">
              <w:rPr>
                <w:rFonts w:ascii="Arial" w:hAnsi="Arial" w:cs="Arial"/>
                <w:b/>
                <w:bCs/>
                <w:sz w:val="18"/>
              </w:rPr>
              <w:t xml:space="preserve">Review </w:t>
            </w:r>
            <w:r w:rsidR="0069504A" w:rsidRPr="0069504A">
              <w:rPr>
                <w:rFonts w:ascii="Arial" w:hAnsi="Arial" w:cs="Arial"/>
                <w:b/>
                <w:bCs/>
                <w:sz w:val="18"/>
              </w:rPr>
              <w:t>June 2026</w:t>
            </w:r>
          </w:p>
          <w:p w14:paraId="7DA4155B" w14:textId="77777777" w:rsidR="009F677F" w:rsidRDefault="009F677F" w:rsidP="00516AA5">
            <w:pPr>
              <w:pStyle w:val="Footer"/>
            </w:pPr>
            <w:r w:rsidRPr="00516AA5">
              <w:rPr>
                <w:rFonts w:ascii="Arial" w:hAnsi="Arial" w:cs="Arial"/>
                <w:color w:val="004785"/>
                <w:sz w:val="16"/>
                <w:szCs w:val="16"/>
              </w:rPr>
              <w:t>NSD610-013.04 V1</w:t>
            </w:r>
            <w:r w:rsidRPr="00634E88">
              <w:rPr>
                <w:rFonts w:ascii="Arial" w:hAnsi="Arial" w:cs="Arial"/>
                <w:color w:val="FFFFFF" w:themeColor="background1"/>
              </w:rPr>
              <w:t xml:space="preserve">Page </w:t>
            </w:r>
            <w:r w:rsidRPr="00634E88">
              <w:rPr>
                <w:rFonts w:ascii="Arial" w:hAnsi="Arial" w:cs="Arial"/>
                <w:b/>
                <w:color w:val="FFFFFF" w:themeColor="background1"/>
                <w:sz w:val="24"/>
                <w:szCs w:val="24"/>
              </w:rPr>
              <w:fldChar w:fldCharType="begin"/>
            </w:r>
            <w:r w:rsidRPr="00634E88">
              <w:rPr>
                <w:rFonts w:ascii="Arial" w:hAnsi="Arial" w:cs="Arial"/>
                <w:b/>
                <w:color w:val="FFFFFF" w:themeColor="background1"/>
              </w:rPr>
              <w:instrText xml:space="preserve"> PAGE </w:instrText>
            </w:r>
            <w:r w:rsidRPr="00634E88">
              <w:rPr>
                <w:rFonts w:ascii="Arial" w:hAnsi="Arial" w:cs="Arial"/>
                <w:b/>
                <w:color w:val="FFFFFF" w:themeColor="background1"/>
                <w:sz w:val="24"/>
                <w:szCs w:val="24"/>
              </w:rPr>
              <w:fldChar w:fldCharType="separate"/>
            </w:r>
            <w:r w:rsidR="00DD5ADD">
              <w:rPr>
                <w:rFonts w:ascii="Arial" w:hAnsi="Arial" w:cs="Arial"/>
                <w:b/>
                <w:noProof/>
                <w:color w:val="FFFFFF" w:themeColor="background1"/>
              </w:rPr>
              <w:t>4</w:t>
            </w:r>
            <w:r w:rsidRPr="00634E88">
              <w:rPr>
                <w:rFonts w:ascii="Arial" w:hAnsi="Arial" w:cs="Arial"/>
                <w:b/>
                <w:color w:val="FFFFFF" w:themeColor="background1"/>
                <w:sz w:val="24"/>
                <w:szCs w:val="24"/>
              </w:rPr>
              <w:fldChar w:fldCharType="end"/>
            </w:r>
            <w:r w:rsidRPr="00634E88">
              <w:rPr>
                <w:rFonts w:ascii="Arial" w:hAnsi="Arial" w:cs="Arial"/>
                <w:color w:val="FFFFFF" w:themeColor="background1"/>
              </w:rPr>
              <w:t xml:space="preserve"> of </w:t>
            </w:r>
            <w:r w:rsidRPr="00634E88">
              <w:rPr>
                <w:rFonts w:ascii="Arial" w:hAnsi="Arial" w:cs="Arial"/>
                <w:b/>
                <w:color w:val="FFFFFF" w:themeColor="background1"/>
                <w:sz w:val="24"/>
                <w:szCs w:val="24"/>
              </w:rPr>
              <w:fldChar w:fldCharType="begin"/>
            </w:r>
            <w:r w:rsidRPr="00634E88">
              <w:rPr>
                <w:rFonts w:ascii="Arial" w:hAnsi="Arial" w:cs="Arial"/>
                <w:b/>
                <w:color w:val="FFFFFF" w:themeColor="background1"/>
              </w:rPr>
              <w:instrText xml:space="preserve"> NUMPAGES  </w:instrText>
            </w:r>
            <w:r w:rsidRPr="00634E88">
              <w:rPr>
                <w:rFonts w:ascii="Arial" w:hAnsi="Arial" w:cs="Arial"/>
                <w:b/>
                <w:color w:val="FFFFFF" w:themeColor="background1"/>
                <w:sz w:val="24"/>
                <w:szCs w:val="24"/>
              </w:rPr>
              <w:fldChar w:fldCharType="separate"/>
            </w:r>
            <w:r w:rsidR="00DD5ADD">
              <w:rPr>
                <w:rFonts w:ascii="Arial" w:hAnsi="Arial" w:cs="Arial"/>
                <w:b/>
                <w:noProof/>
                <w:color w:val="FFFFFF" w:themeColor="background1"/>
              </w:rPr>
              <w:t>4</w:t>
            </w:r>
            <w:r w:rsidRPr="00634E88">
              <w:rPr>
                <w:rFonts w:ascii="Arial" w:hAnsi="Arial" w:cs="Arial"/>
                <w:b/>
                <w:color w:val="FFFFFF" w:themeColor="background1"/>
                <w:sz w:val="24"/>
                <w:szCs w:val="24"/>
              </w:rPr>
              <w:fldChar w:fldCharType="end"/>
            </w:r>
          </w:p>
        </w:sdtContent>
      </w:sdt>
    </w:sdtContent>
  </w:sdt>
  <w:p w14:paraId="1AD43846" w14:textId="77777777" w:rsidR="009F677F" w:rsidRPr="008D78BB" w:rsidRDefault="009F6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F0E12" w14:textId="77777777" w:rsidR="000420E7" w:rsidRDefault="000420E7" w:rsidP="00B61AD9">
      <w:pPr>
        <w:spacing w:after="0" w:line="240" w:lineRule="auto"/>
      </w:pPr>
      <w:r>
        <w:separator/>
      </w:r>
    </w:p>
  </w:footnote>
  <w:footnote w:type="continuationSeparator" w:id="0">
    <w:p w14:paraId="2FED7B7E" w14:textId="77777777" w:rsidR="000420E7" w:rsidRDefault="000420E7" w:rsidP="00B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6178" w14:textId="77777777" w:rsidR="009F677F" w:rsidRDefault="009F677F">
    <w:pPr>
      <w:pStyle w:val="Header"/>
    </w:pPr>
    <w:r w:rsidRPr="00AA0C8F">
      <w:rPr>
        <w:noProof/>
        <w:lang w:eastAsia="en-GB"/>
      </w:rPr>
      <w:drawing>
        <wp:anchor distT="0" distB="0" distL="114300" distR="114300" simplePos="0" relativeHeight="251659264" behindDoc="0" locked="0" layoutInCell="1" allowOverlap="1" wp14:anchorId="6DC5DA73" wp14:editId="5A5A6F67">
          <wp:simplePos x="0" y="0"/>
          <wp:positionH relativeFrom="margin">
            <wp:posOffset>-930910</wp:posOffset>
          </wp:positionH>
          <wp:positionV relativeFrom="margin">
            <wp:posOffset>-925830</wp:posOffset>
          </wp:positionV>
          <wp:extent cx="5716270" cy="593725"/>
          <wp:effectExtent l="19050" t="0" r="0" b="0"/>
          <wp:wrapSquare wrapText="bothSides"/>
          <wp:docPr id="4" name="Picture 3" descr="C:\Users\paolil01\Desktop\Email Template  Shared Services\caring hand-03.jpg"/>
          <wp:cNvGraphicFramePr/>
          <a:graphic xmlns:a="http://schemas.openxmlformats.org/drawingml/2006/main">
            <a:graphicData uri="http://schemas.openxmlformats.org/drawingml/2006/picture">
              <pic:pic xmlns:pic="http://schemas.openxmlformats.org/drawingml/2006/picture">
                <pic:nvPicPr>
                  <pic:cNvPr id="2051" name="Picture 3" descr="C:\Users\paolil01\Desktop\Email Template  Shared Services\caring hand-03.jpg"/>
                  <pic:cNvPicPr>
                    <a:picLocks noChangeAspect="1" noChangeArrowheads="1"/>
                  </pic:cNvPicPr>
                </pic:nvPicPr>
                <pic:blipFill>
                  <a:blip r:embed="rId1" cstate="print"/>
                  <a:srcRect l="15193" t="54132" r="198" b="26590"/>
                  <a:stretch>
                    <a:fillRect/>
                  </a:stretch>
                </pic:blipFill>
                <pic:spPr bwMode="auto">
                  <a:xfrm>
                    <a:off x="0" y="0"/>
                    <a:ext cx="5716270" cy="593725"/>
                  </a:xfrm>
                  <a:prstGeom prst="rect">
                    <a:avLst/>
                  </a:prstGeom>
                  <a:noFill/>
                </pic:spPr>
              </pic:pic>
            </a:graphicData>
          </a:graphic>
        </wp:anchor>
      </w:drawing>
    </w:r>
    <w:r>
      <w:rPr>
        <w:noProof/>
        <w:lang w:eastAsia="en-GB"/>
      </w:rPr>
      <w:drawing>
        <wp:anchor distT="0" distB="0" distL="114300" distR="114300" simplePos="0" relativeHeight="251658240" behindDoc="1" locked="0" layoutInCell="1" allowOverlap="1" wp14:anchorId="5A70A58C" wp14:editId="2E8BD19D">
          <wp:simplePos x="0" y="0"/>
          <wp:positionH relativeFrom="column">
            <wp:posOffset>5244193</wp:posOffset>
          </wp:positionH>
          <wp:positionV relativeFrom="paragraph">
            <wp:posOffset>-57694</wp:posOffset>
          </wp:positionV>
          <wp:extent cx="1054619" cy="700644"/>
          <wp:effectExtent l="19050" t="0" r="0" b="0"/>
          <wp:wrapNone/>
          <wp:docPr id="8" name="Picture 5" descr="G--Physical Activity-PAHA-PAHAe_News&amp;Alerts-eNewsletters-2013-Logos-NHS SCOTLAN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hysical Activity-PAHA-PAHAe_News&amp;Alerts-eNewsletters-2013-Logos-NHS SCOTLAND RGB.jpg"/>
                  <pic:cNvPicPr/>
                </pic:nvPicPr>
                <pic:blipFill>
                  <a:blip r:embed="rId2"/>
                  <a:stretch>
                    <a:fillRect/>
                  </a:stretch>
                </pic:blipFill>
                <pic:spPr>
                  <a:xfrm>
                    <a:off x="0" y="0"/>
                    <a:ext cx="1054619" cy="700644"/>
                  </a:xfrm>
                  <a:prstGeom prst="rect">
                    <a:avLst/>
                  </a:prstGeom>
                </pic:spPr>
              </pic:pic>
            </a:graphicData>
          </a:graphic>
        </wp:anchor>
      </w:drawing>
    </w:r>
  </w:p>
  <w:p w14:paraId="13A5FB48" w14:textId="77777777" w:rsidR="009F677F" w:rsidRDefault="009F6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876"/>
    <w:multiLevelType w:val="hybridMultilevel"/>
    <w:tmpl w:val="35A458E4"/>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114613"/>
    <w:multiLevelType w:val="hybridMultilevel"/>
    <w:tmpl w:val="FF1EE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72BB6"/>
    <w:multiLevelType w:val="hybridMultilevel"/>
    <w:tmpl w:val="5C7EB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4386"/>
    <w:multiLevelType w:val="hybridMultilevel"/>
    <w:tmpl w:val="437A2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04AC1"/>
    <w:multiLevelType w:val="hybridMultilevel"/>
    <w:tmpl w:val="1BF2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41E02"/>
    <w:multiLevelType w:val="hybridMultilevel"/>
    <w:tmpl w:val="B9DC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D287D"/>
    <w:multiLevelType w:val="hybridMultilevel"/>
    <w:tmpl w:val="A78C2156"/>
    <w:lvl w:ilvl="0" w:tplc="7B04DF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C38A0"/>
    <w:multiLevelType w:val="hybridMultilevel"/>
    <w:tmpl w:val="09A8B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63D21"/>
    <w:multiLevelType w:val="hybridMultilevel"/>
    <w:tmpl w:val="AB5211D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0402D"/>
    <w:multiLevelType w:val="hybridMultilevel"/>
    <w:tmpl w:val="9C501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460481"/>
    <w:multiLevelType w:val="hybridMultilevel"/>
    <w:tmpl w:val="CF4C448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100574"/>
    <w:multiLevelType w:val="hybridMultilevel"/>
    <w:tmpl w:val="BD7A6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CE4902"/>
    <w:multiLevelType w:val="hybridMultilevel"/>
    <w:tmpl w:val="502A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CD1B65"/>
    <w:multiLevelType w:val="hybridMultilevel"/>
    <w:tmpl w:val="5FE4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1E55A2"/>
    <w:multiLevelType w:val="hybridMultilevel"/>
    <w:tmpl w:val="E5F45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747E1"/>
    <w:multiLevelType w:val="hybridMultilevel"/>
    <w:tmpl w:val="9C784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945565"/>
    <w:multiLevelType w:val="hybridMultilevel"/>
    <w:tmpl w:val="C562E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BF604B"/>
    <w:multiLevelType w:val="hybridMultilevel"/>
    <w:tmpl w:val="EDBCD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E00379"/>
    <w:multiLevelType w:val="hybridMultilevel"/>
    <w:tmpl w:val="9B2EC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8F57B8"/>
    <w:multiLevelType w:val="hybridMultilevel"/>
    <w:tmpl w:val="6DEC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7A31BA"/>
    <w:multiLevelType w:val="hybridMultilevel"/>
    <w:tmpl w:val="7944B55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0F16C0"/>
    <w:multiLevelType w:val="hybridMultilevel"/>
    <w:tmpl w:val="B3541D8A"/>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1364" w:hanging="360"/>
      </w:pPr>
      <w:rPr>
        <w:rFonts w:ascii="Wingdings" w:hAnsi="Wingdings" w:hint="default"/>
      </w:rPr>
    </w:lvl>
    <w:lvl w:ilvl="3" w:tplc="08090001" w:tentative="1">
      <w:start w:val="1"/>
      <w:numFmt w:val="bullet"/>
      <w:lvlText w:val=""/>
      <w:lvlJc w:val="left"/>
      <w:pPr>
        <w:ind w:left="2084" w:hanging="360"/>
      </w:pPr>
      <w:rPr>
        <w:rFonts w:ascii="Symbol" w:hAnsi="Symbol" w:hint="default"/>
      </w:rPr>
    </w:lvl>
    <w:lvl w:ilvl="4" w:tplc="08090003" w:tentative="1">
      <w:start w:val="1"/>
      <w:numFmt w:val="bullet"/>
      <w:lvlText w:val="o"/>
      <w:lvlJc w:val="left"/>
      <w:pPr>
        <w:ind w:left="2804" w:hanging="360"/>
      </w:pPr>
      <w:rPr>
        <w:rFonts w:ascii="Courier New" w:hAnsi="Courier New" w:cs="Courier New" w:hint="default"/>
      </w:rPr>
    </w:lvl>
    <w:lvl w:ilvl="5" w:tplc="08090005" w:tentative="1">
      <w:start w:val="1"/>
      <w:numFmt w:val="bullet"/>
      <w:lvlText w:val=""/>
      <w:lvlJc w:val="left"/>
      <w:pPr>
        <w:ind w:left="3524" w:hanging="360"/>
      </w:pPr>
      <w:rPr>
        <w:rFonts w:ascii="Wingdings" w:hAnsi="Wingdings" w:hint="default"/>
      </w:rPr>
    </w:lvl>
    <w:lvl w:ilvl="6" w:tplc="08090001" w:tentative="1">
      <w:start w:val="1"/>
      <w:numFmt w:val="bullet"/>
      <w:lvlText w:val=""/>
      <w:lvlJc w:val="left"/>
      <w:pPr>
        <w:ind w:left="4244" w:hanging="360"/>
      </w:pPr>
      <w:rPr>
        <w:rFonts w:ascii="Symbol" w:hAnsi="Symbol" w:hint="default"/>
      </w:rPr>
    </w:lvl>
    <w:lvl w:ilvl="7" w:tplc="08090003" w:tentative="1">
      <w:start w:val="1"/>
      <w:numFmt w:val="bullet"/>
      <w:lvlText w:val="o"/>
      <w:lvlJc w:val="left"/>
      <w:pPr>
        <w:ind w:left="4964" w:hanging="360"/>
      </w:pPr>
      <w:rPr>
        <w:rFonts w:ascii="Courier New" w:hAnsi="Courier New" w:cs="Courier New" w:hint="default"/>
      </w:rPr>
    </w:lvl>
    <w:lvl w:ilvl="8" w:tplc="08090005" w:tentative="1">
      <w:start w:val="1"/>
      <w:numFmt w:val="bullet"/>
      <w:lvlText w:val=""/>
      <w:lvlJc w:val="left"/>
      <w:pPr>
        <w:ind w:left="5684" w:hanging="360"/>
      </w:pPr>
      <w:rPr>
        <w:rFonts w:ascii="Wingdings" w:hAnsi="Wingdings" w:hint="default"/>
      </w:rPr>
    </w:lvl>
  </w:abstractNum>
  <w:abstractNum w:abstractNumId="22" w15:restartNumberingAfterBreak="0">
    <w:nsid w:val="6CFE20FC"/>
    <w:multiLevelType w:val="hybridMultilevel"/>
    <w:tmpl w:val="2F2E5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1E3E5C"/>
    <w:multiLevelType w:val="hybridMultilevel"/>
    <w:tmpl w:val="952A0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16033200">
    <w:abstractNumId w:val="22"/>
  </w:num>
  <w:num w:numId="2" w16cid:durableId="1572498086">
    <w:abstractNumId w:val="2"/>
  </w:num>
  <w:num w:numId="3" w16cid:durableId="930315616">
    <w:abstractNumId w:val="20"/>
  </w:num>
  <w:num w:numId="4" w16cid:durableId="318270821">
    <w:abstractNumId w:val="23"/>
  </w:num>
  <w:num w:numId="5" w16cid:durableId="1451164030">
    <w:abstractNumId w:val="16"/>
  </w:num>
  <w:num w:numId="6" w16cid:durableId="730886036">
    <w:abstractNumId w:val="3"/>
  </w:num>
  <w:num w:numId="7" w16cid:durableId="1131168208">
    <w:abstractNumId w:val="10"/>
  </w:num>
  <w:num w:numId="8" w16cid:durableId="2088260646">
    <w:abstractNumId w:val="21"/>
  </w:num>
  <w:num w:numId="9" w16cid:durableId="1068964036">
    <w:abstractNumId w:val="8"/>
  </w:num>
  <w:num w:numId="10" w16cid:durableId="1190683287">
    <w:abstractNumId w:val="17"/>
  </w:num>
  <w:num w:numId="11" w16cid:durableId="1809325267">
    <w:abstractNumId w:val="11"/>
  </w:num>
  <w:num w:numId="12" w16cid:durableId="806897942">
    <w:abstractNumId w:val="18"/>
  </w:num>
  <w:num w:numId="13" w16cid:durableId="320890864">
    <w:abstractNumId w:val="19"/>
  </w:num>
  <w:num w:numId="14" w16cid:durableId="1520853273">
    <w:abstractNumId w:val="7"/>
  </w:num>
  <w:num w:numId="15" w16cid:durableId="1210918618">
    <w:abstractNumId w:val="9"/>
  </w:num>
  <w:num w:numId="16" w16cid:durableId="828987504">
    <w:abstractNumId w:val="4"/>
  </w:num>
  <w:num w:numId="17" w16cid:durableId="199363086">
    <w:abstractNumId w:val="14"/>
  </w:num>
  <w:num w:numId="18" w16cid:durableId="724908971">
    <w:abstractNumId w:val="5"/>
  </w:num>
  <w:num w:numId="19" w16cid:durableId="1148209936">
    <w:abstractNumId w:val="13"/>
  </w:num>
  <w:num w:numId="20" w16cid:durableId="393772512">
    <w:abstractNumId w:val="1"/>
  </w:num>
  <w:num w:numId="21" w16cid:durableId="1568806007">
    <w:abstractNumId w:val="15"/>
  </w:num>
  <w:num w:numId="22" w16cid:durableId="875898052">
    <w:abstractNumId w:val="12"/>
  </w:num>
  <w:num w:numId="23" w16cid:durableId="790439094">
    <w:abstractNumId w:val="6"/>
  </w:num>
  <w:num w:numId="24" w16cid:durableId="1890729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26"/>
    <w:rsid w:val="00036824"/>
    <w:rsid w:val="000420E7"/>
    <w:rsid w:val="0005672E"/>
    <w:rsid w:val="000C4A06"/>
    <w:rsid w:val="000D009F"/>
    <w:rsid w:val="000D11E6"/>
    <w:rsid w:val="000E7E50"/>
    <w:rsid w:val="000F46DE"/>
    <w:rsid w:val="00162C2C"/>
    <w:rsid w:val="001C3967"/>
    <w:rsid w:val="001F6C59"/>
    <w:rsid w:val="00213B58"/>
    <w:rsid w:val="00234DCE"/>
    <w:rsid w:val="0023787D"/>
    <w:rsid w:val="00252AFD"/>
    <w:rsid w:val="002E3D7C"/>
    <w:rsid w:val="00301D76"/>
    <w:rsid w:val="003519F4"/>
    <w:rsid w:val="00457071"/>
    <w:rsid w:val="004A4F18"/>
    <w:rsid w:val="00502F94"/>
    <w:rsid w:val="00516AA5"/>
    <w:rsid w:val="005526F3"/>
    <w:rsid w:val="005C3338"/>
    <w:rsid w:val="00631DF2"/>
    <w:rsid w:val="00634E88"/>
    <w:rsid w:val="0069504A"/>
    <w:rsid w:val="006A1808"/>
    <w:rsid w:val="006F199D"/>
    <w:rsid w:val="008304E3"/>
    <w:rsid w:val="00864C04"/>
    <w:rsid w:val="008673F6"/>
    <w:rsid w:val="00882826"/>
    <w:rsid w:val="008D78BB"/>
    <w:rsid w:val="008E6836"/>
    <w:rsid w:val="00970490"/>
    <w:rsid w:val="009D1C0E"/>
    <w:rsid w:val="009E5E40"/>
    <w:rsid w:val="009F677F"/>
    <w:rsid w:val="009F7FAA"/>
    <w:rsid w:val="00A71581"/>
    <w:rsid w:val="00AA0C8F"/>
    <w:rsid w:val="00B05291"/>
    <w:rsid w:val="00B573AE"/>
    <w:rsid w:val="00B61AD9"/>
    <w:rsid w:val="00B6751E"/>
    <w:rsid w:val="00BE3274"/>
    <w:rsid w:val="00C10D8B"/>
    <w:rsid w:val="00C521F5"/>
    <w:rsid w:val="00CC1230"/>
    <w:rsid w:val="00D00143"/>
    <w:rsid w:val="00D440A1"/>
    <w:rsid w:val="00D74871"/>
    <w:rsid w:val="00DD5ADD"/>
    <w:rsid w:val="00EE2B12"/>
    <w:rsid w:val="00EE4195"/>
    <w:rsid w:val="00F53303"/>
    <w:rsid w:val="00F7458D"/>
    <w:rsid w:val="00FE1D59"/>
    <w:rsid w:val="00FF0756"/>
    <w:rsid w:val="02B438C5"/>
    <w:rsid w:val="03580981"/>
    <w:rsid w:val="13DE63C7"/>
    <w:rsid w:val="4983E82A"/>
    <w:rsid w:val="52A92EBF"/>
    <w:rsid w:val="5343168F"/>
    <w:rsid w:val="5A29EE1F"/>
    <w:rsid w:val="5F6E896A"/>
    <w:rsid w:val="64D8CD24"/>
    <w:rsid w:val="7CB3784D"/>
    <w:rsid w:val="7E60B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2CAEDBDB"/>
  <w15:docId w15:val="{632BC1FB-4619-4DDD-B476-B63AB8E4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195"/>
  </w:style>
  <w:style w:type="paragraph" w:styleId="Heading1">
    <w:name w:val="heading 1"/>
    <w:basedOn w:val="Normal"/>
    <w:next w:val="Normal"/>
    <w:link w:val="Heading1Char"/>
    <w:qFormat/>
    <w:rsid w:val="00D00143"/>
    <w:pPr>
      <w:keepNext/>
      <w:spacing w:after="0" w:line="240" w:lineRule="auto"/>
      <w:outlineLvl w:val="0"/>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character" w:customStyle="1" w:styleId="Heading1Char">
    <w:name w:val="Heading 1 Char"/>
    <w:basedOn w:val="DefaultParagraphFont"/>
    <w:link w:val="Heading1"/>
    <w:rsid w:val="00D00143"/>
    <w:rPr>
      <w:rFonts w:ascii="Arial" w:eastAsia="Times New Roman" w:hAnsi="Arial" w:cs="Arial"/>
      <w:b/>
      <w:bCs/>
      <w:sz w:val="24"/>
      <w:szCs w:val="24"/>
      <w:u w:val="single"/>
    </w:rPr>
  </w:style>
  <w:style w:type="paragraph" w:styleId="BodyText2">
    <w:name w:val="Body Text 2"/>
    <w:basedOn w:val="Normal"/>
    <w:link w:val="BodyText2Char"/>
    <w:rsid w:val="00D00143"/>
    <w:pPr>
      <w:spacing w:after="0" w:line="240" w:lineRule="auto"/>
    </w:pPr>
    <w:rPr>
      <w:rFonts w:ascii="Arial" w:eastAsia="Times New Roman" w:hAnsi="Arial" w:cs="Arial"/>
      <w:b/>
      <w:bCs/>
      <w:sz w:val="24"/>
      <w:szCs w:val="24"/>
      <w:u w:val="single"/>
    </w:rPr>
  </w:style>
  <w:style w:type="character" w:customStyle="1" w:styleId="BodyText2Char">
    <w:name w:val="Body Text 2 Char"/>
    <w:basedOn w:val="DefaultParagraphFont"/>
    <w:link w:val="BodyText2"/>
    <w:rsid w:val="00D00143"/>
    <w:rPr>
      <w:rFonts w:ascii="Arial" w:eastAsia="Times New Roman" w:hAnsi="Arial" w:cs="Arial"/>
      <w:b/>
      <w:bCs/>
      <w:sz w:val="24"/>
      <w:szCs w:val="24"/>
      <w:u w:val="single"/>
    </w:rPr>
  </w:style>
  <w:style w:type="character" w:styleId="Hyperlink">
    <w:name w:val="Hyperlink"/>
    <w:basedOn w:val="DefaultParagraphFont"/>
    <w:uiPriority w:val="99"/>
    <w:rsid w:val="00D00143"/>
    <w:rPr>
      <w:color w:val="0000FF" w:themeColor="hyperlink"/>
      <w:u w:val="single"/>
    </w:rPr>
  </w:style>
  <w:style w:type="paragraph" w:styleId="ListParagraph">
    <w:name w:val="List Paragraph"/>
    <w:basedOn w:val="Normal"/>
    <w:link w:val="ListParagraphChar"/>
    <w:uiPriority w:val="34"/>
    <w:qFormat/>
    <w:rsid w:val="00D00143"/>
    <w:pPr>
      <w:spacing w:after="0" w:line="240" w:lineRule="auto"/>
      <w:ind w:left="720"/>
      <w:contextualSpacing/>
    </w:pPr>
    <w:rPr>
      <w:rFonts w:ascii="Times New Roman" w:eastAsia="Times New Roman" w:hAnsi="Times New Roman" w:cs="Times New Roman"/>
      <w:sz w:val="24"/>
      <w:szCs w:val="24"/>
    </w:rPr>
  </w:style>
  <w:style w:type="paragraph" w:customStyle="1" w:styleId="xmsonormal">
    <w:name w:val="x_msonormal"/>
    <w:basedOn w:val="Normal"/>
    <w:rsid w:val="00D00143"/>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00143"/>
    <w:rPr>
      <w:color w:val="800080" w:themeColor="followedHyperlink"/>
      <w:u w:val="single"/>
    </w:rPr>
  </w:style>
  <w:style w:type="character" w:customStyle="1" w:styleId="ListParagraphChar">
    <w:name w:val="List Paragraph Char"/>
    <w:basedOn w:val="DefaultParagraphFont"/>
    <w:link w:val="ListParagraph"/>
    <w:uiPriority w:val="34"/>
    <w:rsid w:val="000D11E6"/>
    <w:rPr>
      <w:rFonts w:ascii="Times New Roman" w:eastAsia="Times New Roman" w:hAnsi="Times New Roman" w:cs="Times New Roman"/>
      <w:sz w:val="24"/>
      <w:szCs w:val="24"/>
    </w:rPr>
  </w:style>
  <w:style w:type="paragraph" w:customStyle="1" w:styleId="NormalArial">
    <w:name w:val="Normal + Arial"/>
    <w:aliases w:val="11 pt,Italic"/>
    <w:basedOn w:val="Normal"/>
    <w:link w:val="NormalArialChar"/>
    <w:uiPriority w:val="99"/>
    <w:rsid w:val="00D440A1"/>
    <w:pPr>
      <w:autoSpaceDE w:val="0"/>
      <w:autoSpaceDN w:val="0"/>
      <w:adjustRightInd w:val="0"/>
      <w:spacing w:after="0" w:line="240" w:lineRule="auto"/>
    </w:pPr>
    <w:rPr>
      <w:rFonts w:ascii="Arial" w:eastAsia="Times New Roman" w:hAnsi="Arial" w:cs="Arial"/>
    </w:rPr>
  </w:style>
  <w:style w:type="character" w:customStyle="1" w:styleId="NormalArialChar">
    <w:name w:val="Normal + Arial Char"/>
    <w:aliases w:val="11 pt Char,Italic Char Char"/>
    <w:basedOn w:val="DefaultParagraphFont"/>
    <w:link w:val="NormalArial"/>
    <w:uiPriority w:val="99"/>
    <w:locked/>
    <w:rsid w:val="00D440A1"/>
    <w:rPr>
      <w:rFonts w:ascii="Arial" w:eastAsia="Times New Roman" w:hAnsi="Arial" w:cs="Arial"/>
    </w:rPr>
  </w:style>
  <w:style w:type="paragraph" w:styleId="NoSpacing">
    <w:name w:val="No Spacing"/>
    <w:uiPriority w:val="1"/>
    <w:qFormat/>
    <w:rsid w:val="009F677F"/>
    <w:pPr>
      <w:spacing w:after="0" w:line="240" w:lineRule="auto"/>
    </w:pPr>
  </w:style>
  <w:style w:type="character" w:styleId="Emphasis">
    <w:name w:val="Emphasis"/>
    <w:basedOn w:val="DefaultParagraphFont"/>
    <w:uiPriority w:val="20"/>
    <w:qFormat/>
    <w:rsid w:val="00DD5ADD"/>
    <w:rPr>
      <w:i/>
      <w:i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dusa.wales.nhs.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ntranet.lothian.scot.nhs.uk/NHSLothian/Healthcare/ClinicalGuidance/General/Medicines%20Policy%20and%20procedures%20-%20December%202009.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i.org/10.1177/0961203321103456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heumatology.org.uk/improving-care/covid-19-guidance" TargetMode="External"/><Relationship Id="rId5" Type="http://schemas.openxmlformats.org/officeDocument/2006/relationships/styles" Target="styles.xml"/><Relationship Id="rId15" Type="http://schemas.openxmlformats.org/officeDocument/2006/relationships/hyperlink" Target="https://doi.org/10.1016/j.jpeds.2017.05.002" TargetMode="External"/><Relationship Id="rId10" Type="http://schemas.openxmlformats.org/officeDocument/2006/relationships/hyperlink" Target="https://assets.publishing.service.gov.uk/government/uploads/system/uploads/attachment_data/file/655225/Greenbook_chapter_6.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093/rheumatology/keac09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BE32324A86564C9445C76138A4ADAC" ma:contentTypeVersion="6" ma:contentTypeDescription="Create a new document." ma:contentTypeScope="" ma:versionID="8e76715138ffdde5d67d8771b9fd7037">
  <xsd:schema xmlns:xsd="http://www.w3.org/2001/XMLSchema" xmlns:xs="http://www.w3.org/2001/XMLSchema" xmlns:p="http://schemas.microsoft.com/office/2006/metadata/properties" xmlns:ns2="6709aecb-b5f6-4cb7-be91-08fb9eff6ea6" xmlns:ns3="d26b2b00-33d8-4363-8107-78afcc9d8d91" targetNamespace="http://schemas.microsoft.com/office/2006/metadata/properties" ma:root="true" ma:fieldsID="db7611b9651fa9f9f0c3067f1b9b2a5f" ns2:_="" ns3:_="">
    <xsd:import namespace="6709aecb-b5f6-4cb7-be91-08fb9eff6ea6"/>
    <xsd:import namespace="d26b2b00-33d8-4363-8107-78afcc9d8d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9aecb-b5f6-4cb7-be91-08fb9eff6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b2b00-33d8-4363-8107-78afcc9d8d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26b2b00-33d8-4363-8107-78afcc9d8d91">
      <UserInfo>
        <DisplayName/>
        <AccountId xsi:nil="true"/>
        <AccountType/>
      </UserInfo>
    </SharedWithUsers>
  </documentManagement>
</p:properties>
</file>

<file path=customXml/itemProps1.xml><?xml version="1.0" encoding="utf-8"?>
<ds:datastoreItem xmlns:ds="http://schemas.openxmlformats.org/officeDocument/2006/customXml" ds:itemID="{03E0D406-A21F-4FD4-8931-7F72C8466425}">
  <ds:schemaRefs>
    <ds:schemaRef ds:uri="http://schemas.microsoft.com/sharepoint/v3/contenttype/forms"/>
  </ds:schemaRefs>
</ds:datastoreItem>
</file>

<file path=customXml/itemProps2.xml><?xml version="1.0" encoding="utf-8"?>
<ds:datastoreItem xmlns:ds="http://schemas.openxmlformats.org/officeDocument/2006/customXml" ds:itemID="{ED24445F-76FD-4C4D-8989-4A523442C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9aecb-b5f6-4cb7-be91-08fb9eff6ea6"/>
    <ds:schemaRef ds:uri="d26b2b00-33d8-4363-8107-78afcc9d8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44C5E6-3F92-48CB-AF3E-44AF069C2D3D}">
  <ds:schemaRefs>
    <ds:schemaRef ds:uri="http://schemas.microsoft.com/office/2006/metadata/properties"/>
    <ds:schemaRef ds:uri="http://schemas.microsoft.com/office/infopath/2007/PartnerControls"/>
    <ds:schemaRef ds:uri="d26b2b00-33d8-4363-8107-78afcc9d8d9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Paolina Leseva</dc:creator>
  <cp:lastModifiedBy>Kirsty Young</cp:lastModifiedBy>
  <cp:revision>2</cp:revision>
  <cp:lastPrinted>2018-03-08T10:48:00Z</cp:lastPrinted>
  <dcterms:created xsi:type="dcterms:W3CDTF">2023-07-24T07:48:00Z</dcterms:created>
  <dcterms:modified xsi:type="dcterms:W3CDTF">2023-07-24T07:48:00Z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0x0101000ABE32324A86564C9445C76138A4ADAC</vt:lpwstr>
  </property>
  <property fmtid="{D5CDD505-2E9C-101B-9397-08002B2CF9AE}" pid="3" name="Order">
    <vt:r8>8900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