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9B66" w14:textId="3684E5EE" w:rsidR="00295F59" w:rsidRPr="00700D4B" w:rsidRDefault="00371997" w:rsidP="003A4B82">
      <w:r w:rsidRPr="00700D4B">
        <w:rPr>
          <w:noProof/>
        </w:rPr>
        <w:drawing>
          <wp:anchor distT="0" distB="0" distL="114300" distR="114300" simplePos="0" relativeHeight="251659264" behindDoc="0" locked="0" layoutInCell="1" allowOverlap="1" wp14:anchorId="06ACA252" wp14:editId="66B9DF3B">
            <wp:simplePos x="0" y="0"/>
            <wp:positionH relativeFrom="column">
              <wp:posOffset>4898779</wp:posOffset>
            </wp:positionH>
            <wp:positionV relativeFrom="page">
              <wp:posOffset>591764</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p>
    <w:p w14:paraId="5518E313" w14:textId="77777777" w:rsidR="00295F59" w:rsidRPr="00700D4B" w:rsidRDefault="00295F59" w:rsidP="003A4B82"/>
    <w:p w14:paraId="54724CC7" w14:textId="77777777" w:rsidR="00295F59" w:rsidRPr="00700D4B" w:rsidRDefault="00295F59" w:rsidP="003A4B82"/>
    <w:p w14:paraId="0C220252" w14:textId="031422BA" w:rsidR="00535327" w:rsidRPr="00700D4B" w:rsidRDefault="00D60669" w:rsidP="003A4B82">
      <w:r w:rsidRPr="00700D4B">
        <w:tab/>
      </w:r>
    </w:p>
    <w:p w14:paraId="4A310E81" w14:textId="5A729F40" w:rsidR="00535327" w:rsidRPr="00700D4B" w:rsidRDefault="00535327" w:rsidP="003A4B82"/>
    <w:p w14:paraId="53D0E82D" w14:textId="77777777" w:rsidR="003A4B82" w:rsidRPr="00700D4B" w:rsidRDefault="003A4B82" w:rsidP="003A4B82"/>
    <w:p w14:paraId="7ED3834B" w14:textId="77777777" w:rsidR="003A4B82" w:rsidRPr="00700D4B" w:rsidRDefault="003A4B82" w:rsidP="003A4B82"/>
    <w:p w14:paraId="237E51A2" w14:textId="77777777" w:rsidR="00532963" w:rsidRPr="00700D4B" w:rsidRDefault="00532963" w:rsidP="00532963">
      <w:pPr>
        <w:pStyle w:val="Title"/>
        <w:rPr>
          <w:highlight w:val="yellow"/>
        </w:rPr>
      </w:pPr>
    </w:p>
    <w:p w14:paraId="04A4676C" w14:textId="77777777" w:rsidR="00532963" w:rsidRPr="00700D4B" w:rsidRDefault="00532963" w:rsidP="00532963">
      <w:pPr>
        <w:pStyle w:val="Title"/>
        <w:rPr>
          <w:highlight w:val="yellow"/>
        </w:rPr>
      </w:pPr>
    </w:p>
    <w:p w14:paraId="1D8B62B2" w14:textId="77777777" w:rsidR="00532963" w:rsidRPr="00700D4B" w:rsidRDefault="00532963" w:rsidP="00532963">
      <w:pPr>
        <w:pStyle w:val="Title"/>
        <w:rPr>
          <w:highlight w:val="yellow"/>
        </w:rPr>
      </w:pPr>
    </w:p>
    <w:p w14:paraId="0A051643" w14:textId="77777777" w:rsidR="00532963" w:rsidRPr="00700D4B" w:rsidRDefault="00532963" w:rsidP="00532963">
      <w:pPr>
        <w:pStyle w:val="Title"/>
        <w:rPr>
          <w:highlight w:val="yellow"/>
        </w:rPr>
      </w:pPr>
    </w:p>
    <w:p w14:paraId="0C585FAE" w14:textId="7A41A57F" w:rsidR="00295F59" w:rsidRPr="00700D4B" w:rsidRDefault="00700D4B" w:rsidP="003A4B82">
      <w:pPr>
        <w:pStyle w:val="Title"/>
        <w:spacing w:line="276" w:lineRule="auto"/>
      </w:pPr>
      <w:r w:rsidRPr="00700D4B">
        <w:t>Scottish Paediatric and Adolescent Rheumatology Network - SPARN</w:t>
      </w:r>
    </w:p>
    <w:p w14:paraId="244B924F" w14:textId="77777777" w:rsidR="00295F59" w:rsidRPr="00700D4B" w:rsidRDefault="00295F59" w:rsidP="003A4B82">
      <w:pPr>
        <w:spacing w:line="276" w:lineRule="auto"/>
      </w:pPr>
    </w:p>
    <w:p w14:paraId="3E28C8AC" w14:textId="6E875081" w:rsidR="00295F59" w:rsidRPr="00700D4B" w:rsidRDefault="00700D4B" w:rsidP="003A4B82">
      <w:pPr>
        <w:pStyle w:val="Subtitle"/>
        <w:spacing w:line="276" w:lineRule="auto"/>
      </w:pPr>
      <w:r w:rsidRPr="00700D4B">
        <w:t>Guide to Non-Steroidal Anti-Inflammatory Drugs (NSAIDs)</w:t>
      </w:r>
    </w:p>
    <w:p w14:paraId="7C0EC77E" w14:textId="77777777" w:rsidR="005A1EDC" w:rsidRPr="00700D4B" w:rsidRDefault="005A1EDC" w:rsidP="003A4B82">
      <w:pPr>
        <w:spacing w:line="276" w:lineRule="auto"/>
      </w:pPr>
    </w:p>
    <w:p w14:paraId="671DF33F" w14:textId="77777777" w:rsidR="005A1EDC" w:rsidRPr="00700D4B" w:rsidRDefault="005A1EDC" w:rsidP="003A4B82">
      <w:pPr>
        <w:spacing w:line="276" w:lineRule="auto"/>
      </w:pPr>
    </w:p>
    <w:p w14:paraId="166F6DDA" w14:textId="1C2B036E" w:rsidR="003A4B82" w:rsidRPr="00700D4B" w:rsidRDefault="003A4B82" w:rsidP="003A4B82">
      <w:pPr>
        <w:spacing w:line="276" w:lineRule="auto"/>
      </w:pPr>
    </w:p>
    <w:p w14:paraId="3FB6CFDA" w14:textId="77777777" w:rsidR="00295F59" w:rsidRPr="00700D4B" w:rsidRDefault="00295F59" w:rsidP="003A4B82">
      <w:pPr>
        <w:spacing w:line="276" w:lineRule="auto"/>
      </w:pPr>
    </w:p>
    <w:p w14:paraId="29D0CD08" w14:textId="77777777" w:rsidR="00295F59" w:rsidRPr="00700D4B" w:rsidRDefault="00295F59" w:rsidP="003A4B82">
      <w:pPr>
        <w:spacing w:line="276" w:lineRule="auto"/>
      </w:pPr>
    </w:p>
    <w:p w14:paraId="70B26BF5" w14:textId="77777777" w:rsidR="00295F59" w:rsidRPr="00700D4B" w:rsidRDefault="00295F59" w:rsidP="003A4B82">
      <w:pPr>
        <w:spacing w:line="276" w:lineRule="auto"/>
      </w:pPr>
    </w:p>
    <w:p w14:paraId="66328EB5" w14:textId="77777777" w:rsidR="00295F59" w:rsidRPr="00700D4B" w:rsidRDefault="00295F59" w:rsidP="003A4B82">
      <w:pPr>
        <w:spacing w:line="276" w:lineRule="auto"/>
      </w:pPr>
    </w:p>
    <w:p w14:paraId="6D59C708" w14:textId="77777777" w:rsidR="00295F59" w:rsidRPr="00700D4B" w:rsidRDefault="00295F59" w:rsidP="003A4B82">
      <w:pPr>
        <w:spacing w:line="276" w:lineRule="auto"/>
      </w:pPr>
    </w:p>
    <w:p w14:paraId="0BB9A715" w14:textId="3C99A4F3" w:rsidR="00295F59" w:rsidRPr="00700D4B" w:rsidRDefault="00295F59" w:rsidP="003A4B82">
      <w:pPr>
        <w:spacing w:line="276" w:lineRule="auto"/>
        <w:rPr>
          <w:b/>
          <w:bCs/>
        </w:rPr>
      </w:pPr>
      <w:r w:rsidRPr="00700D4B">
        <w:rPr>
          <w:b/>
          <w:bCs/>
        </w:rPr>
        <w:t>NOTE</w:t>
      </w:r>
    </w:p>
    <w:p w14:paraId="6C4B81DB" w14:textId="2F5EC66B" w:rsidR="00295F59" w:rsidRPr="00700D4B" w:rsidRDefault="00295F59" w:rsidP="003A4B82">
      <w:pPr>
        <w:spacing w:line="276" w:lineRule="auto"/>
      </w:pPr>
      <w:r w:rsidRPr="00700D4B">
        <w:t xml:space="preserve">This guideline is not intended to be construed or to serve as a standard of care. Standards of care are determined </w:t>
      </w:r>
      <w:r w:rsidR="00532963" w:rsidRPr="00700D4B">
        <w:t>based on</w:t>
      </w:r>
      <w:r w:rsidRPr="00700D4B">
        <w:t xml:space="preserve"> all clinical data available for an individual case and are subject to change as scientific knowledge and technology advance and patterns of care evolve. Adherence to guideline recommendations will not ensure a successful outcome in every case, nor should they be construed as including all proper methods of care or excluding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w:t>
      </w:r>
    </w:p>
    <w:p w14:paraId="4C1770D0" w14:textId="1E12F014" w:rsidR="00700D4B" w:rsidRPr="00700D4B" w:rsidRDefault="00E72699" w:rsidP="00700D4B">
      <w:pPr>
        <w:spacing w:line="276" w:lineRule="auto"/>
      </w:pPr>
      <w:r w:rsidRPr="00700D4B">
        <w:br w:type="page"/>
      </w:r>
    </w:p>
    <w:p w14:paraId="3D09D75E" w14:textId="2C384560" w:rsidR="00700D4B" w:rsidRPr="00700D4B" w:rsidRDefault="00700D4B" w:rsidP="00700D4B">
      <w:pPr>
        <w:rPr>
          <w:rFonts w:eastAsia="Times New Roman"/>
          <w:b/>
          <w:color w:val="auto"/>
        </w:rPr>
      </w:pPr>
      <w:r w:rsidRPr="00700D4B">
        <w:rPr>
          <w:rFonts w:eastAsia="Times New Roman"/>
          <w:b/>
          <w:i/>
          <w:color w:val="auto"/>
          <w:u w:val="single"/>
        </w:rPr>
        <w:lastRenderedPageBreak/>
        <w:t>Mechanism of Action:</w:t>
      </w:r>
      <w:r w:rsidRPr="00700D4B">
        <w:rPr>
          <w:rFonts w:eastAsia="Times New Roman"/>
          <w:b/>
          <w:i/>
          <w:color w:val="auto"/>
        </w:rPr>
        <w:t xml:space="preserve"> </w:t>
      </w:r>
    </w:p>
    <w:p w14:paraId="3D97F5C9" w14:textId="77777777" w:rsidR="00700D4B" w:rsidRPr="00700D4B" w:rsidRDefault="00700D4B" w:rsidP="00700D4B">
      <w:pPr>
        <w:numPr>
          <w:ilvl w:val="0"/>
          <w:numId w:val="38"/>
        </w:numPr>
        <w:ind w:left="720" w:hanging="360"/>
        <w:rPr>
          <w:rFonts w:eastAsia="Times New Roman"/>
        </w:rPr>
      </w:pPr>
      <w:r w:rsidRPr="00700D4B">
        <w:rPr>
          <w:rFonts w:eastAsia="Times New Roman"/>
        </w:rPr>
        <w:t xml:space="preserve">NSAIDS inhibit cyclo-oxygenase and thus reduce prostaglandins causing anti-inflammatory and analgesic effect. </w:t>
      </w:r>
    </w:p>
    <w:p w14:paraId="09BCE22F" w14:textId="77777777" w:rsidR="00700D4B" w:rsidRPr="00700D4B" w:rsidRDefault="00700D4B" w:rsidP="00700D4B">
      <w:pPr>
        <w:numPr>
          <w:ilvl w:val="0"/>
          <w:numId w:val="38"/>
        </w:numPr>
        <w:ind w:left="720" w:hanging="360"/>
        <w:rPr>
          <w:rFonts w:eastAsia="Times New Roman"/>
          <w:b/>
        </w:rPr>
      </w:pPr>
      <w:r w:rsidRPr="00700D4B">
        <w:rPr>
          <w:rFonts w:eastAsia="Times New Roman"/>
        </w:rPr>
        <w:t xml:space="preserve">Single dose:  has analgesic </w:t>
      </w:r>
      <w:proofErr w:type="gramStart"/>
      <w:r w:rsidRPr="00700D4B">
        <w:rPr>
          <w:rFonts w:eastAsia="Times New Roman"/>
        </w:rPr>
        <w:t>activity</w:t>
      </w:r>
      <w:proofErr w:type="gramEnd"/>
    </w:p>
    <w:p w14:paraId="2E3DE776" w14:textId="77777777" w:rsidR="00700D4B" w:rsidRPr="00700D4B" w:rsidRDefault="00700D4B" w:rsidP="00700D4B">
      <w:pPr>
        <w:numPr>
          <w:ilvl w:val="0"/>
          <w:numId w:val="38"/>
        </w:numPr>
        <w:ind w:left="720" w:hanging="360"/>
        <w:rPr>
          <w:rFonts w:eastAsia="Times New Roman"/>
          <w:b/>
        </w:rPr>
      </w:pPr>
      <w:r w:rsidRPr="00700D4B">
        <w:rPr>
          <w:rFonts w:eastAsia="Times New Roman"/>
        </w:rPr>
        <w:t>Regular full doses: lasting analgesic and anti-inflammatory effect.</w:t>
      </w:r>
    </w:p>
    <w:p w14:paraId="17E57129" w14:textId="77777777" w:rsidR="00700D4B" w:rsidRPr="00700D4B" w:rsidRDefault="00700D4B" w:rsidP="00700D4B">
      <w:pPr>
        <w:pStyle w:val="ListParagraph"/>
        <w:rPr>
          <w:rFonts w:eastAsia="Times New Roman"/>
          <w:i/>
          <w:color w:val="FF0000"/>
        </w:rPr>
      </w:pPr>
    </w:p>
    <w:p w14:paraId="5832FCD2" w14:textId="77777777" w:rsidR="00700D4B" w:rsidRPr="00700D4B" w:rsidRDefault="00700D4B" w:rsidP="00700D4B">
      <w:pPr>
        <w:rPr>
          <w:rFonts w:eastAsia="Times New Roman"/>
          <w:b/>
          <w:i/>
          <w:color w:val="auto"/>
        </w:rPr>
      </w:pPr>
      <w:r w:rsidRPr="00700D4B">
        <w:rPr>
          <w:rFonts w:eastAsia="Times New Roman"/>
          <w:b/>
          <w:i/>
          <w:color w:val="auto"/>
          <w:u w:val="single"/>
        </w:rPr>
        <w:t>Choice:</w:t>
      </w:r>
      <w:r w:rsidRPr="00700D4B">
        <w:rPr>
          <w:rFonts w:eastAsia="Times New Roman"/>
          <w:b/>
          <w:i/>
          <w:color w:val="auto"/>
        </w:rPr>
        <w:t xml:space="preserve">  </w:t>
      </w:r>
    </w:p>
    <w:p w14:paraId="3719F6B5" w14:textId="77777777" w:rsidR="00700D4B" w:rsidRPr="00700D4B" w:rsidRDefault="00700D4B" w:rsidP="00700D4B">
      <w:pPr>
        <w:numPr>
          <w:ilvl w:val="0"/>
          <w:numId w:val="39"/>
        </w:numPr>
        <w:ind w:left="720" w:hanging="360"/>
        <w:rPr>
          <w:rFonts w:eastAsia="Times New Roman"/>
        </w:rPr>
      </w:pPr>
      <w:r w:rsidRPr="00700D4B">
        <w:rPr>
          <w:rFonts w:eastAsia="Times New Roman"/>
        </w:rPr>
        <w:t xml:space="preserve">The choice of NSAID is based on formulation, frequency of dosing regimen, side effect profile and contra-indications. (Table 1). </w:t>
      </w:r>
    </w:p>
    <w:p w14:paraId="7A1A3F3D" w14:textId="77777777" w:rsidR="00700D4B" w:rsidRPr="00700D4B" w:rsidRDefault="00700D4B" w:rsidP="00700D4B">
      <w:pPr>
        <w:numPr>
          <w:ilvl w:val="0"/>
          <w:numId w:val="39"/>
        </w:numPr>
        <w:ind w:left="720" w:hanging="360"/>
        <w:rPr>
          <w:rFonts w:eastAsia="Times New Roman"/>
        </w:rPr>
      </w:pPr>
      <w:r w:rsidRPr="00700D4B">
        <w:rPr>
          <w:rFonts w:eastAsia="Times New Roman"/>
        </w:rPr>
        <w:t xml:space="preserve">There is a variation in individual response and </w:t>
      </w:r>
      <w:proofErr w:type="gramStart"/>
      <w:r w:rsidRPr="00700D4B">
        <w:rPr>
          <w:rFonts w:eastAsia="Times New Roman"/>
        </w:rPr>
        <w:t>tolerance</w:t>
      </w:r>
      <w:proofErr w:type="gramEnd"/>
    </w:p>
    <w:p w14:paraId="5BF8FDEC" w14:textId="77777777" w:rsidR="00700D4B" w:rsidRPr="00700D4B" w:rsidRDefault="00700D4B" w:rsidP="00700D4B">
      <w:pPr>
        <w:numPr>
          <w:ilvl w:val="0"/>
          <w:numId w:val="39"/>
        </w:numPr>
        <w:ind w:left="720" w:hanging="360"/>
        <w:rPr>
          <w:rFonts w:eastAsia="Times New Roman"/>
        </w:rPr>
      </w:pPr>
      <w:r w:rsidRPr="00700D4B">
        <w:rPr>
          <w:rFonts w:eastAsia="Times New Roman"/>
        </w:rPr>
        <w:t>Full analgesic effect can take up to 1 week and anti-inflammatory effect may not be achieved for up to 3 weeks.</w:t>
      </w:r>
    </w:p>
    <w:p w14:paraId="7A321CD3" w14:textId="77777777" w:rsidR="00700D4B" w:rsidRPr="00700D4B" w:rsidRDefault="00700D4B" w:rsidP="00700D4B">
      <w:pPr>
        <w:numPr>
          <w:ilvl w:val="0"/>
          <w:numId w:val="39"/>
        </w:numPr>
        <w:ind w:left="720" w:hanging="360"/>
        <w:rPr>
          <w:rFonts w:eastAsia="Times New Roman"/>
        </w:rPr>
      </w:pPr>
      <w:r w:rsidRPr="00700D4B">
        <w:rPr>
          <w:rFonts w:eastAsia="Times New Roman"/>
        </w:rPr>
        <w:t xml:space="preserve">In Juvenile Idiopathic Arthritis (JIA) it may take 4-12 weeks to be effective. </w:t>
      </w:r>
    </w:p>
    <w:p w14:paraId="6F88BF8A" w14:textId="77777777" w:rsidR="00700D4B" w:rsidRPr="00700D4B" w:rsidRDefault="00700D4B" w:rsidP="00700D4B">
      <w:pPr>
        <w:numPr>
          <w:ilvl w:val="0"/>
          <w:numId w:val="39"/>
        </w:numPr>
        <w:tabs>
          <w:tab w:val="left" w:pos="142"/>
        </w:tabs>
        <w:ind w:left="720" w:hanging="360"/>
        <w:rPr>
          <w:rFonts w:eastAsia="Times New Roman"/>
        </w:rPr>
      </w:pPr>
      <w:r w:rsidRPr="00700D4B">
        <w:rPr>
          <w:rFonts w:eastAsia="Times New Roman"/>
        </w:rPr>
        <w:t>Slow-release preparations given in the evening may be helpful for early morning stiffness.</w:t>
      </w:r>
    </w:p>
    <w:p w14:paraId="6C28F8C2" w14:textId="77777777" w:rsidR="00700D4B" w:rsidRPr="00700D4B" w:rsidRDefault="00700D4B" w:rsidP="00700D4B">
      <w:pPr>
        <w:tabs>
          <w:tab w:val="left" w:pos="142"/>
        </w:tabs>
        <w:ind w:left="720"/>
        <w:rPr>
          <w:rFonts w:eastAsia="Times New Roman"/>
        </w:rPr>
      </w:pPr>
    </w:p>
    <w:p w14:paraId="7ADC0C68" w14:textId="77777777" w:rsidR="00700D4B" w:rsidRPr="00700D4B" w:rsidRDefault="00700D4B" w:rsidP="00700D4B">
      <w:pPr>
        <w:numPr>
          <w:ilvl w:val="0"/>
          <w:numId w:val="39"/>
        </w:numPr>
        <w:tabs>
          <w:tab w:val="left" w:pos="142"/>
        </w:tabs>
        <w:ind w:left="720" w:hanging="360"/>
        <w:rPr>
          <w:rFonts w:eastAsia="Times New Roman"/>
        </w:rPr>
      </w:pPr>
      <w:r w:rsidRPr="00700D4B">
        <w:rPr>
          <w:rFonts w:eastAsia="Times New Roman"/>
        </w:rPr>
        <w:t xml:space="preserve">Consider concomitant gastro-protective cover when using long-term or alongside </w:t>
      </w:r>
      <w:proofErr w:type="gramStart"/>
      <w:r w:rsidRPr="00700D4B">
        <w:rPr>
          <w:rFonts w:eastAsia="Times New Roman"/>
        </w:rPr>
        <w:t>corticosteroids</w:t>
      </w:r>
      <w:proofErr w:type="gramEnd"/>
    </w:p>
    <w:p w14:paraId="66D4DB34" w14:textId="77777777" w:rsidR="00700D4B" w:rsidRPr="00700D4B" w:rsidRDefault="00700D4B" w:rsidP="00700D4B">
      <w:pPr>
        <w:tabs>
          <w:tab w:val="left" w:pos="142"/>
        </w:tabs>
        <w:rPr>
          <w:rFonts w:eastAsia="Times New Roman"/>
        </w:rPr>
      </w:pPr>
    </w:p>
    <w:p w14:paraId="0EEA499D" w14:textId="77777777" w:rsidR="00700D4B" w:rsidRPr="00700D4B" w:rsidRDefault="00700D4B" w:rsidP="00700D4B">
      <w:pPr>
        <w:numPr>
          <w:ilvl w:val="0"/>
          <w:numId w:val="39"/>
        </w:numPr>
        <w:tabs>
          <w:tab w:val="left" w:pos="142"/>
        </w:tabs>
        <w:ind w:left="720" w:hanging="360"/>
        <w:rPr>
          <w:rFonts w:eastAsia="Times New Roman"/>
        </w:rPr>
      </w:pPr>
      <w:r w:rsidRPr="00700D4B">
        <w:rPr>
          <w:rFonts w:eastAsia="Times New Roman"/>
        </w:rPr>
        <w:t xml:space="preserve">Use lowest effective dose for shortest time </w:t>
      </w:r>
      <w:proofErr w:type="gramStart"/>
      <w:r w:rsidRPr="00700D4B">
        <w:rPr>
          <w:rFonts w:eastAsia="Times New Roman"/>
        </w:rPr>
        <w:t>period</w:t>
      </w:r>
      <w:proofErr w:type="gramEnd"/>
    </w:p>
    <w:p w14:paraId="4D16B8D8" w14:textId="77777777" w:rsidR="00700D4B" w:rsidRPr="00700D4B" w:rsidRDefault="00700D4B" w:rsidP="00700D4B">
      <w:pPr>
        <w:numPr>
          <w:ilvl w:val="0"/>
          <w:numId w:val="39"/>
        </w:numPr>
        <w:ind w:left="720" w:hanging="360"/>
        <w:rPr>
          <w:rFonts w:eastAsia="Times New Roman"/>
        </w:rPr>
      </w:pPr>
      <w:r w:rsidRPr="00700D4B">
        <w:rPr>
          <w:rFonts w:eastAsia="Times New Roman"/>
        </w:rPr>
        <w:t xml:space="preserve">The role of cyclooxygenase-2 (Cox-2) inhibitors, a type of NSAID which reduces the risk of peptic ulceration, is undetermined in children. </w:t>
      </w:r>
    </w:p>
    <w:p w14:paraId="7BBE01C5" w14:textId="77777777" w:rsidR="00700D4B" w:rsidRPr="00700D4B" w:rsidRDefault="00700D4B" w:rsidP="00700D4B">
      <w:pPr>
        <w:tabs>
          <w:tab w:val="left" w:pos="142"/>
        </w:tabs>
        <w:rPr>
          <w:rFonts w:eastAsia="Times New Roman"/>
        </w:rPr>
      </w:pPr>
    </w:p>
    <w:p w14:paraId="4356D176" w14:textId="77777777" w:rsidR="00700D4B" w:rsidRPr="00700D4B" w:rsidRDefault="00700D4B" w:rsidP="00700D4B">
      <w:pPr>
        <w:tabs>
          <w:tab w:val="left" w:pos="142"/>
        </w:tabs>
        <w:rPr>
          <w:rFonts w:eastAsia="Times New Roman"/>
        </w:rPr>
      </w:pPr>
    </w:p>
    <w:p w14:paraId="74AE6F1C" w14:textId="77777777" w:rsidR="00700D4B" w:rsidRPr="00700D4B" w:rsidRDefault="00700D4B" w:rsidP="00700D4B">
      <w:pPr>
        <w:numPr>
          <w:ilvl w:val="0"/>
          <w:numId w:val="40"/>
        </w:numPr>
        <w:tabs>
          <w:tab w:val="left" w:pos="142"/>
        </w:tabs>
        <w:ind w:left="142" w:hanging="142"/>
        <w:rPr>
          <w:rFonts w:eastAsia="Times New Roman"/>
        </w:rPr>
      </w:pPr>
      <w:r w:rsidRPr="00700D4B">
        <w:rPr>
          <w:rFonts w:eastAsia="Times New Roman"/>
        </w:rPr>
        <w:t xml:space="preserve">Check for </w:t>
      </w:r>
      <w:r w:rsidRPr="00700D4B">
        <w:rPr>
          <w:rFonts w:eastAsia="Times New Roman"/>
          <w:b/>
          <w:i/>
          <w:color w:val="auto"/>
          <w:u w:val="single"/>
        </w:rPr>
        <w:t>drug interactions</w:t>
      </w:r>
      <w:r w:rsidRPr="00700D4B">
        <w:rPr>
          <w:rFonts w:eastAsia="Times New Roman"/>
          <w:color w:val="auto"/>
        </w:rPr>
        <w:t xml:space="preserve"> </w:t>
      </w:r>
      <w:r w:rsidRPr="00700D4B">
        <w:rPr>
          <w:rFonts w:eastAsia="Times New Roman"/>
        </w:rPr>
        <w:t xml:space="preserve">before use: </w:t>
      </w:r>
    </w:p>
    <w:p w14:paraId="62E97DCE" w14:textId="77777777" w:rsidR="00700D4B" w:rsidRPr="00700D4B" w:rsidRDefault="00700D4B" w:rsidP="00700D4B">
      <w:pPr>
        <w:tabs>
          <w:tab w:val="left" w:pos="142"/>
        </w:tabs>
        <w:jc w:val="both"/>
        <w:rPr>
          <w:rFonts w:eastAsia="Times New Roman"/>
        </w:rPr>
      </w:pPr>
      <w:r w:rsidRPr="00700D4B">
        <w:rPr>
          <w:rFonts w:eastAsia="Times New Roman"/>
        </w:rPr>
        <w:tab/>
      </w:r>
      <w:r w:rsidRPr="00700D4B">
        <w:rPr>
          <w:rFonts w:eastAsia="Times New Roman"/>
        </w:rPr>
        <w:tab/>
        <w:t xml:space="preserve">ACE inhibitors: risk of hyperkalaemia and renal </w:t>
      </w:r>
      <w:proofErr w:type="gramStart"/>
      <w:r w:rsidRPr="00700D4B">
        <w:rPr>
          <w:rFonts w:eastAsia="Times New Roman"/>
        </w:rPr>
        <w:t>damage;</w:t>
      </w:r>
      <w:proofErr w:type="gramEnd"/>
      <w:r w:rsidRPr="00700D4B">
        <w:rPr>
          <w:rFonts w:eastAsia="Times New Roman"/>
        </w:rPr>
        <w:t xml:space="preserve"> </w:t>
      </w:r>
    </w:p>
    <w:p w14:paraId="328C32C2" w14:textId="77777777" w:rsidR="00700D4B" w:rsidRPr="00700D4B" w:rsidRDefault="00700D4B" w:rsidP="00700D4B">
      <w:pPr>
        <w:tabs>
          <w:tab w:val="left" w:pos="142"/>
        </w:tabs>
        <w:jc w:val="both"/>
        <w:rPr>
          <w:rFonts w:eastAsia="Times New Roman"/>
        </w:rPr>
      </w:pPr>
      <w:r w:rsidRPr="00700D4B">
        <w:rPr>
          <w:rFonts w:eastAsia="Times New Roman"/>
        </w:rPr>
        <w:tab/>
      </w:r>
      <w:r w:rsidRPr="00700D4B">
        <w:rPr>
          <w:rFonts w:eastAsia="Times New Roman"/>
        </w:rPr>
        <w:tab/>
        <w:t xml:space="preserve">warfarin: effect </w:t>
      </w:r>
      <w:r w:rsidRPr="00700D4B">
        <w:rPr>
          <w:rFonts w:eastAsia="Times New Roman"/>
        </w:rPr>
        <w:tab/>
        <w:t xml:space="preserve">enhanced by </w:t>
      </w:r>
      <w:proofErr w:type="gramStart"/>
      <w:r w:rsidRPr="00700D4B">
        <w:rPr>
          <w:rFonts w:eastAsia="Times New Roman"/>
        </w:rPr>
        <w:t>NSAIDs;</w:t>
      </w:r>
      <w:proofErr w:type="gramEnd"/>
      <w:r w:rsidRPr="00700D4B">
        <w:rPr>
          <w:rFonts w:eastAsia="Times New Roman"/>
        </w:rPr>
        <w:t xml:space="preserve"> </w:t>
      </w:r>
    </w:p>
    <w:p w14:paraId="47841E08" w14:textId="77777777" w:rsidR="00700D4B" w:rsidRPr="00700D4B" w:rsidRDefault="00700D4B" w:rsidP="00700D4B">
      <w:pPr>
        <w:tabs>
          <w:tab w:val="left" w:pos="142"/>
        </w:tabs>
        <w:ind w:left="720"/>
        <w:jc w:val="both"/>
        <w:rPr>
          <w:rFonts w:eastAsia="Times New Roman"/>
        </w:rPr>
      </w:pPr>
      <w:r w:rsidRPr="00700D4B">
        <w:rPr>
          <w:rFonts w:eastAsia="Times New Roman"/>
        </w:rPr>
        <w:t xml:space="preserve">methotrexate: elimination can be reduced by NSAIDs and may increase the risk of </w:t>
      </w:r>
      <w:proofErr w:type="gramStart"/>
      <w:r w:rsidRPr="00700D4B">
        <w:rPr>
          <w:rFonts w:eastAsia="Times New Roman"/>
        </w:rPr>
        <w:t>toxicity</w:t>
      </w:r>
      <w:proofErr w:type="gramEnd"/>
    </w:p>
    <w:p w14:paraId="328105C7" w14:textId="77777777" w:rsidR="00700D4B" w:rsidRPr="00700D4B" w:rsidRDefault="00700D4B" w:rsidP="00700D4B">
      <w:pPr>
        <w:tabs>
          <w:tab w:val="left" w:pos="142"/>
        </w:tabs>
        <w:ind w:left="720"/>
        <w:jc w:val="both"/>
        <w:rPr>
          <w:rFonts w:eastAsia="Times New Roman"/>
        </w:rPr>
      </w:pPr>
      <w:proofErr w:type="gramStart"/>
      <w:r w:rsidRPr="00700D4B">
        <w:rPr>
          <w:rFonts w:eastAsia="Times New Roman"/>
        </w:rPr>
        <w:t>bisphosphonates :</w:t>
      </w:r>
      <w:proofErr w:type="gramEnd"/>
      <w:r w:rsidRPr="00700D4B">
        <w:rPr>
          <w:rFonts w:eastAsia="Times New Roman"/>
        </w:rPr>
        <w:t xml:space="preserve"> NSAIDS increase the risk of renal impairment</w:t>
      </w:r>
    </w:p>
    <w:p w14:paraId="1AC77A36" w14:textId="77777777" w:rsidR="00700D4B" w:rsidRPr="00700D4B" w:rsidRDefault="00700D4B" w:rsidP="00700D4B">
      <w:pPr>
        <w:tabs>
          <w:tab w:val="left" w:pos="142"/>
        </w:tabs>
        <w:rPr>
          <w:rFonts w:eastAsia="Times New Roman"/>
        </w:rPr>
      </w:pPr>
    </w:p>
    <w:p w14:paraId="71A83810" w14:textId="77777777" w:rsidR="00700D4B" w:rsidRPr="00700D4B" w:rsidRDefault="00700D4B" w:rsidP="00700D4B">
      <w:pPr>
        <w:tabs>
          <w:tab w:val="left" w:pos="142"/>
        </w:tabs>
        <w:rPr>
          <w:rFonts w:eastAsia="Times New Roman"/>
        </w:rPr>
      </w:pPr>
    </w:p>
    <w:p w14:paraId="5D7BC4D5" w14:textId="77777777" w:rsidR="00700D4B" w:rsidRPr="00700D4B" w:rsidRDefault="00700D4B" w:rsidP="00700D4B">
      <w:pPr>
        <w:numPr>
          <w:ilvl w:val="0"/>
          <w:numId w:val="41"/>
        </w:numPr>
        <w:tabs>
          <w:tab w:val="left" w:pos="142"/>
        </w:tabs>
        <w:ind w:left="142" w:hanging="142"/>
        <w:rPr>
          <w:rFonts w:eastAsia="Times New Roman"/>
        </w:rPr>
      </w:pPr>
      <w:r w:rsidRPr="00700D4B">
        <w:rPr>
          <w:rFonts w:eastAsia="Times New Roman"/>
        </w:rPr>
        <w:t xml:space="preserve">Check for </w:t>
      </w:r>
      <w:r w:rsidRPr="00700D4B">
        <w:rPr>
          <w:rFonts w:eastAsia="Times New Roman"/>
          <w:b/>
          <w:i/>
          <w:color w:val="auto"/>
          <w:u w:val="single"/>
        </w:rPr>
        <w:t>contraindications</w:t>
      </w:r>
      <w:r w:rsidRPr="00700D4B">
        <w:rPr>
          <w:rFonts w:eastAsia="Times New Roman"/>
          <w:b/>
          <w:color w:val="auto"/>
        </w:rPr>
        <w:t>:</w:t>
      </w:r>
    </w:p>
    <w:p w14:paraId="703B0581" w14:textId="77777777" w:rsidR="00700D4B" w:rsidRPr="00700D4B" w:rsidRDefault="00700D4B" w:rsidP="00700D4B">
      <w:pPr>
        <w:numPr>
          <w:ilvl w:val="0"/>
          <w:numId w:val="41"/>
        </w:numPr>
        <w:tabs>
          <w:tab w:val="left" w:pos="340"/>
        </w:tabs>
        <w:ind w:left="340" w:hanging="141"/>
        <w:rPr>
          <w:rFonts w:eastAsia="Times New Roman"/>
        </w:rPr>
      </w:pPr>
      <w:r w:rsidRPr="00700D4B">
        <w:rPr>
          <w:rFonts w:eastAsia="Times New Roman"/>
        </w:rPr>
        <w:t>Absolute</w:t>
      </w:r>
      <w:r w:rsidRPr="00700D4B">
        <w:rPr>
          <w:rFonts w:eastAsia="Times New Roman"/>
          <w:i/>
        </w:rPr>
        <w:t xml:space="preserve"> </w:t>
      </w:r>
      <w:proofErr w:type="gramStart"/>
      <w:r w:rsidRPr="00700D4B">
        <w:rPr>
          <w:rFonts w:eastAsia="Times New Roman"/>
        </w:rPr>
        <w:t>-  active</w:t>
      </w:r>
      <w:proofErr w:type="gramEnd"/>
      <w:r w:rsidRPr="00700D4B">
        <w:rPr>
          <w:rFonts w:eastAsia="Times New Roman"/>
        </w:rPr>
        <w:t xml:space="preserve"> or previous peptic ulceration or GI bleeding, severe heart failure, </w:t>
      </w:r>
      <w:r w:rsidRPr="00700D4B">
        <w:rPr>
          <w:rFonts w:eastAsia="Times New Roman"/>
        </w:rPr>
        <w:tab/>
        <w:t>moderate to severe renal impairment.</w:t>
      </w:r>
    </w:p>
    <w:p w14:paraId="234F15CF" w14:textId="77777777" w:rsidR="00700D4B" w:rsidRPr="00700D4B" w:rsidRDefault="00700D4B" w:rsidP="00700D4B">
      <w:pPr>
        <w:numPr>
          <w:ilvl w:val="0"/>
          <w:numId w:val="41"/>
        </w:numPr>
        <w:tabs>
          <w:tab w:val="left" w:pos="340"/>
        </w:tabs>
        <w:ind w:left="340" w:hanging="141"/>
        <w:rPr>
          <w:rFonts w:eastAsia="Times New Roman"/>
        </w:rPr>
      </w:pPr>
      <w:r w:rsidRPr="00700D4B">
        <w:rPr>
          <w:rFonts w:eastAsia="Times New Roman"/>
        </w:rPr>
        <w:t xml:space="preserve">Relative - asthma, coagulation defects, renal, cardiac, or hepatic impairment, </w:t>
      </w:r>
      <w:r w:rsidRPr="00700D4B">
        <w:rPr>
          <w:rFonts w:eastAsia="Times New Roman"/>
        </w:rPr>
        <w:tab/>
        <w:t>inflammatory bowel disease</w:t>
      </w:r>
    </w:p>
    <w:p w14:paraId="2C046810" w14:textId="77777777" w:rsidR="00700D4B" w:rsidRPr="00700D4B" w:rsidRDefault="00700D4B" w:rsidP="00700D4B">
      <w:pPr>
        <w:tabs>
          <w:tab w:val="left" w:pos="142"/>
        </w:tabs>
        <w:rPr>
          <w:rFonts w:eastAsia="Times New Roman"/>
        </w:rPr>
      </w:pPr>
    </w:p>
    <w:p w14:paraId="4018FAB0" w14:textId="77777777" w:rsidR="00700D4B" w:rsidRPr="00700D4B" w:rsidRDefault="00700D4B" w:rsidP="00700D4B">
      <w:pPr>
        <w:tabs>
          <w:tab w:val="left" w:pos="142"/>
        </w:tabs>
        <w:rPr>
          <w:rFonts w:eastAsia="Times New Roman"/>
        </w:rPr>
      </w:pPr>
    </w:p>
    <w:p w14:paraId="195619B7" w14:textId="77777777" w:rsidR="00700D4B" w:rsidRPr="00700D4B" w:rsidRDefault="00700D4B" w:rsidP="00700D4B">
      <w:pPr>
        <w:numPr>
          <w:ilvl w:val="0"/>
          <w:numId w:val="42"/>
        </w:numPr>
        <w:tabs>
          <w:tab w:val="left" w:pos="142"/>
        </w:tabs>
        <w:ind w:left="142" w:hanging="142"/>
        <w:rPr>
          <w:rFonts w:eastAsia="Times New Roman"/>
        </w:rPr>
      </w:pPr>
      <w:r w:rsidRPr="00700D4B">
        <w:rPr>
          <w:rFonts w:eastAsia="Times New Roman"/>
          <w:b/>
          <w:i/>
          <w:color w:val="auto"/>
          <w:u w:val="single"/>
        </w:rPr>
        <w:t>Side effects</w:t>
      </w:r>
      <w:r w:rsidRPr="00700D4B">
        <w:rPr>
          <w:rFonts w:eastAsia="Times New Roman"/>
          <w:color w:val="auto"/>
        </w:rPr>
        <w:t xml:space="preserve"> </w:t>
      </w:r>
      <w:r w:rsidRPr="00700D4B">
        <w:rPr>
          <w:rFonts w:eastAsia="Times New Roman"/>
        </w:rPr>
        <w:t>are rare but include:</w:t>
      </w:r>
    </w:p>
    <w:p w14:paraId="17254AEA" w14:textId="77777777" w:rsidR="00700D4B" w:rsidRPr="00700D4B" w:rsidRDefault="00700D4B" w:rsidP="00700D4B">
      <w:pPr>
        <w:numPr>
          <w:ilvl w:val="3"/>
          <w:numId w:val="42"/>
        </w:numPr>
        <w:tabs>
          <w:tab w:val="left" w:pos="142"/>
        </w:tabs>
        <w:ind w:left="142" w:hanging="142"/>
        <w:rPr>
          <w:rFonts w:eastAsia="Times New Roman"/>
        </w:rPr>
      </w:pPr>
    </w:p>
    <w:p w14:paraId="0CB7A6C9" w14:textId="77777777" w:rsidR="00700D4B" w:rsidRPr="00700D4B" w:rsidRDefault="00700D4B" w:rsidP="00700D4B">
      <w:pPr>
        <w:pStyle w:val="ListParagraph"/>
        <w:numPr>
          <w:ilvl w:val="0"/>
          <w:numId w:val="42"/>
        </w:numPr>
        <w:tabs>
          <w:tab w:val="left" w:pos="142"/>
        </w:tabs>
        <w:jc w:val="both"/>
        <w:rPr>
          <w:rFonts w:eastAsia="Times New Roman"/>
        </w:rPr>
      </w:pPr>
      <w:r w:rsidRPr="00700D4B">
        <w:rPr>
          <w:rFonts w:eastAsia="Times New Roman"/>
        </w:rPr>
        <w:t xml:space="preserve">Central nervous </w:t>
      </w:r>
      <w:proofErr w:type="gramStart"/>
      <w:r w:rsidRPr="00700D4B">
        <w:rPr>
          <w:rFonts w:eastAsia="Times New Roman"/>
        </w:rPr>
        <w:t>system :</w:t>
      </w:r>
      <w:proofErr w:type="gramEnd"/>
      <w:r w:rsidRPr="00700D4B">
        <w:rPr>
          <w:rFonts w:eastAsia="Times New Roman"/>
        </w:rPr>
        <w:t xml:space="preserve">  headache, hyperactivity, dizziness, vertigo, anxiety </w:t>
      </w:r>
      <w:r w:rsidRPr="00700D4B">
        <w:rPr>
          <w:rFonts w:eastAsia="Times New Roman"/>
        </w:rPr>
        <w:tab/>
        <w:t>depression, tinnitus, aseptic meningitis in SLE (rare).</w:t>
      </w:r>
    </w:p>
    <w:p w14:paraId="438D77CC" w14:textId="77777777" w:rsidR="00700D4B" w:rsidRPr="00700D4B" w:rsidRDefault="00700D4B" w:rsidP="00700D4B">
      <w:pPr>
        <w:pStyle w:val="ListParagraph"/>
        <w:numPr>
          <w:ilvl w:val="0"/>
          <w:numId w:val="42"/>
        </w:numPr>
        <w:tabs>
          <w:tab w:val="left" w:pos="142"/>
        </w:tabs>
        <w:jc w:val="both"/>
        <w:rPr>
          <w:rFonts w:eastAsia="Times New Roman"/>
        </w:rPr>
      </w:pPr>
      <w:proofErr w:type="gramStart"/>
      <w:r w:rsidRPr="00700D4B">
        <w:rPr>
          <w:rFonts w:eastAsia="Times New Roman"/>
        </w:rPr>
        <w:t>Cardiovascular :</w:t>
      </w:r>
      <w:proofErr w:type="gramEnd"/>
      <w:r w:rsidRPr="00700D4B">
        <w:rPr>
          <w:rFonts w:eastAsia="Times New Roman"/>
        </w:rPr>
        <w:t xml:space="preserve">  risk of events undetermined in children.  In adults, increase in  </w:t>
      </w:r>
    </w:p>
    <w:p w14:paraId="25399CE9" w14:textId="77777777" w:rsidR="00700D4B" w:rsidRPr="00700D4B" w:rsidRDefault="00700D4B" w:rsidP="00700D4B">
      <w:pPr>
        <w:tabs>
          <w:tab w:val="left" w:pos="142"/>
        </w:tabs>
        <w:jc w:val="both"/>
        <w:rPr>
          <w:rFonts w:eastAsia="Times New Roman"/>
        </w:rPr>
      </w:pPr>
      <w:r w:rsidRPr="00700D4B">
        <w:rPr>
          <w:rFonts w:eastAsia="Times New Roman"/>
        </w:rPr>
        <w:t xml:space="preserve">                          thrombotic events.</w:t>
      </w:r>
    </w:p>
    <w:p w14:paraId="35CB9B52" w14:textId="77777777" w:rsidR="00700D4B" w:rsidRPr="00700D4B" w:rsidRDefault="00700D4B" w:rsidP="00700D4B">
      <w:pPr>
        <w:pStyle w:val="ListParagraph"/>
        <w:numPr>
          <w:ilvl w:val="0"/>
          <w:numId w:val="42"/>
        </w:numPr>
        <w:tabs>
          <w:tab w:val="left" w:pos="340"/>
        </w:tabs>
        <w:jc w:val="both"/>
        <w:rPr>
          <w:rFonts w:eastAsia="Times New Roman"/>
        </w:rPr>
      </w:pPr>
      <w:proofErr w:type="gramStart"/>
      <w:r w:rsidRPr="00700D4B">
        <w:rPr>
          <w:rFonts w:eastAsia="Times New Roman"/>
        </w:rPr>
        <w:t>Haematological :</w:t>
      </w:r>
      <w:proofErr w:type="gramEnd"/>
      <w:r w:rsidRPr="00700D4B">
        <w:rPr>
          <w:rFonts w:eastAsia="Times New Roman"/>
        </w:rPr>
        <w:t xml:space="preserve">  blood disorders are rare albeit bleeding times may be prolonged.</w:t>
      </w:r>
    </w:p>
    <w:p w14:paraId="5E40A4A3" w14:textId="77777777" w:rsidR="00700D4B" w:rsidRPr="00700D4B" w:rsidRDefault="00700D4B" w:rsidP="00700D4B">
      <w:pPr>
        <w:pStyle w:val="ListParagraph"/>
        <w:numPr>
          <w:ilvl w:val="0"/>
          <w:numId w:val="42"/>
        </w:numPr>
        <w:jc w:val="both"/>
        <w:rPr>
          <w:rFonts w:eastAsia="Times New Roman"/>
        </w:rPr>
      </w:pPr>
      <w:proofErr w:type="gramStart"/>
      <w:r w:rsidRPr="00700D4B">
        <w:rPr>
          <w:rFonts w:eastAsia="Times New Roman"/>
        </w:rPr>
        <w:t>GI :</w:t>
      </w:r>
      <w:proofErr w:type="gramEnd"/>
      <w:r w:rsidRPr="00700D4B">
        <w:rPr>
          <w:rFonts w:eastAsia="Times New Roman"/>
        </w:rPr>
        <w:t xml:space="preserve">  All NSAIDS are associated with GI toxicity.  Ibuprofen has the lowest risk.   </w:t>
      </w:r>
    </w:p>
    <w:p w14:paraId="70F8F281" w14:textId="77777777" w:rsidR="00700D4B" w:rsidRPr="00700D4B" w:rsidRDefault="00700D4B" w:rsidP="00700D4B">
      <w:pPr>
        <w:pStyle w:val="ListParagraph"/>
        <w:jc w:val="both"/>
        <w:rPr>
          <w:rFonts w:eastAsia="Times New Roman"/>
        </w:rPr>
      </w:pPr>
      <w:r w:rsidRPr="00700D4B">
        <w:rPr>
          <w:rFonts w:eastAsia="Times New Roman"/>
        </w:rPr>
        <w:lastRenderedPageBreak/>
        <w:t xml:space="preserve">             Children tolerate NSAIDS better. Common side effects are nausea, abdominal pain,  </w:t>
      </w:r>
    </w:p>
    <w:p w14:paraId="197C3148" w14:textId="77777777" w:rsidR="00700D4B" w:rsidRPr="00700D4B" w:rsidRDefault="00700D4B" w:rsidP="00700D4B">
      <w:pPr>
        <w:pStyle w:val="ListParagraph"/>
        <w:ind w:left="1440"/>
        <w:jc w:val="both"/>
        <w:rPr>
          <w:rFonts w:eastAsia="Times New Roman"/>
        </w:rPr>
      </w:pPr>
      <w:r w:rsidRPr="00700D4B">
        <w:rPr>
          <w:rFonts w:eastAsia="Times New Roman"/>
        </w:rPr>
        <w:t xml:space="preserve">bleeding, </w:t>
      </w:r>
      <w:proofErr w:type="gramStart"/>
      <w:r w:rsidRPr="00700D4B">
        <w:rPr>
          <w:rFonts w:eastAsia="Times New Roman"/>
        </w:rPr>
        <w:t>ulceration,  hepatic</w:t>
      </w:r>
      <w:proofErr w:type="gramEnd"/>
      <w:r w:rsidRPr="00700D4B">
        <w:rPr>
          <w:rFonts w:eastAsia="Times New Roman"/>
        </w:rPr>
        <w:t xml:space="preserve"> damage, pancreatitis. Ibuprofen has the lowest GI risk. Apparent intolerance of NSAIDs should raise concern of GI </w:t>
      </w:r>
      <w:proofErr w:type="gramStart"/>
      <w:r w:rsidRPr="00700D4B">
        <w:rPr>
          <w:rFonts w:eastAsia="Times New Roman"/>
        </w:rPr>
        <w:t>pathology</w:t>
      </w:r>
      <w:proofErr w:type="gramEnd"/>
      <w:r w:rsidRPr="00700D4B">
        <w:rPr>
          <w:rFonts w:eastAsia="Times New Roman"/>
        </w:rPr>
        <w:t xml:space="preserve"> </w:t>
      </w:r>
    </w:p>
    <w:p w14:paraId="4C7B58B8" w14:textId="77777777" w:rsidR="00700D4B" w:rsidRPr="00700D4B" w:rsidRDefault="00700D4B" w:rsidP="00700D4B">
      <w:pPr>
        <w:pStyle w:val="ListParagraph"/>
        <w:ind w:left="1440"/>
        <w:jc w:val="both"/>
        <w:rPr>
          <w:rFonts w:eastAsia="Times New Roman"/>
        </w:rPr>
      </w:pPr>
      <w:r w:rsidRPr="00700D4B">
        <w:rPr>
          <w:rFonts w:eastAsia="Times New Roman"/>
        </w:rPr>
        <w:t>(</w:t>
      </w:r>
      <w:proofErr w:type="gramStart"/>
      <w:r w:rsidRPr="00700D4B">
        <w:rPr>
          <w:rFonts w:eastAsia="Times New Roman"/>
        </w:rPr>
        <w:t>e.g.</w:t>
      </w:r>
      <w:proofErr w:type="gramEnd"/>
      <w:r w:rsidRPr="00700D4B">
        <w:rPr>
          <w:rFonts w:eastAsia="Times New Roman"/>
        </w:rPr>
        <w:t xml:space="preserve"> </w:t>
      </w:r>
      <w:r w:rsidRPr="00700D4B">
        <w:rPr>
          <w:rFonts w:eastAsia="Times New Roman"/>
          <w:i/>
        </w:rPr>
        <w:t>Helicobacter pylori</w:t>
      </w:r>
      <w:r w:rsidRPr="00700D4B">
        <w:rPr>
          <w:rFonts w:eastAsia="Times New Roman"/>
        </w:rPr>
        <w:t xml:space="preserve"> disease, inflammatory bowel disease).</w:t>
      </w:r>
    </w:p>
    <w:p w14:paraId="33076236" w14:textId="77777777" w:rsidR="00700D4B" w:rsidRPr="00700D4B" w:rsidRDefault="00700D4B" w:rsidP="00700D4B">
      <w:pPr>
        <w:tabs>
          <w:tab w:val="left" w:pos="340"/>
        </w:tabs>
        <w:ind w:left="340"/>
        <w:jc w:val="both"/>
        <w:rPr>
          <w:rFonts w:eastAsia="Times New Roman"/>
        </w:rPr>
      </w:pPr>
    </w:p>
    <w:p w14:paraId="3D4F8384" w14:textId="77777777" w:rsidR="00700D4B" w:rsidRPr="00700D4B" w:rsidRDefault="00700D4B" w:rsidP="00700D4B">
      <w:pPr>
        <w:pStyle w:val="ListParagraph"/>
        <w:numPr>
          <w:ilvl w:val="0"/>
          <w:numId w:val="42"/>
        </w:numPr>
        <w:tabs>
          <w:tab w:val="left" w:pos="340"/>
        </w:tabs>
        <w:jc w:val="both"/>
        <w:rPr>
          <w:rFonts w:eastAsia="Times New Roman"/>
        </w:rPr>
      </w:pPr>
      <w:proofErr w:type="gramStart"/>
      <w:r w:rsidRPr="00700D4B">
        <w:rPr>
          <w:rFonts w:eastAsia="Times New Roman"/>
        </w:rPr>
        <w:t>Renal :</w:t>
      </w:r>
      <w:proofErr w:type="gramEnd"/>
      <w:r w:rsidRPr="00700D4B">
        <w:rPr>
          <w:rFonts w:eastAsia="Times New Roman"/>
        </w:rPr>
        <w:t xml:space="preserve">  may provoke renal failure in pre-existing renal impairment. Rarely papillary </w:t>
      </w:r>
      <w:r w:rsidRPr="00700D4B">
        <w:rPr>
          <w:rFonts w:eastAsia="Times New Roman"/>
        </w:rPr>
        <w:tab/>
        <w:t xml:space="preserve">necrosis or tubulointerstitial nephritis (later interstitial fibrosis) leading to renal </w:t>
      </w:r>
      <w:r w:rsidRPr="00700D4B">
        <w:rPr>
          <w:rFonts w:eastAsia="Times New Roman"/>
        </w:rPr>
        <w:tab/>
        <w:t>impairment.</w:t>
      </w:r>
    </w:p>
    <w:p w14:paraId="2E7526E3" w14:textId="77777777" w:rsidR="00700D4B" w:rsidRPr="00700D4B" w:rsidRDefault="00700D4B" w:rsidP="00700D4B">
      <w:pPr>
        <w:pStyle w:val="ListParagraph"/>
        <w:tabs>
          <w:tab w:val="left" w:pos="340"/>
        </w:tabs>
        <w:jc w:val="both"/>
        <w:rPr>
          <w:rFonts w:eastAsia="Times New Roman"/>
        </w:rPr>
      </w:pPr>
    </w:p>
    <w:p w14:paraId="5F619453" w14:textId="77777777" w:rsidR="00700D4B" w:rsidRPr="00700D4B" w:rsidRDefault="00700D4B" w:rsidP="00700D4B">
      <w:pPr>
        <w:pStyle w:val="ListParagraph"/>
        <w:numPr>
          <w:ilvl w:val="0"/>
          <w:numId w:val="42"/>
        </w:numPr>
        <w:tabs>
          <w:tab w:val="left" w:pos="340"/>
        </w:tabs>
        <w:jc w:val="both"/>
        <w:rPr>
          <w:rFonts w:eastAsia="Times New Roman"/>
        </w:rPr>
      </w:pPr>
      <w:proofErr w:type="gramStart"/>
      <w:r w:rsidRPr="00700D4B">
        <w:rPr>
          <w:rFonts w:eastAsia="Times New Roman"/>
        </w:rPr>
        <w:t>Skin :</w:t>
      </w:r>
      <w:proofErr w:type="gramEnd"/>
      <w:r w:rsidRPr="00700D4B">
        <w:rPr>
          <w:rFonts w:eastAsia="Times New Roman"/>
        </w:rPr>
        <w:t xml:space="preserve">  NSAIDs may cause </w:t>
      </w:r>
      <w:proofErr w:type="spellStart"/>
      <w:r w:rsidRPr="00700D4B">
        <w:rPr>
          <w:rFonts w:eastAsia="Times New Roman"/>
        </w:rPr>
        <w:t>pseudoporphyria</w:t>
      </w:r>
      <w:proofErr w:type="spellEnd"/>
      <w:r w:rsidRPr="00700D4B">
        <w:rPr>
          <w:rFonts w:eastAsia="Times New Roman"/>
        </w:rPr>
        <w:t xml:space="preserve"> (photosensitive blistering rash leaving </w:t>
      </w:r>
      <w:r w:rsidRPr="00700D4B">
        <w:rPr>
          <w:rFonts w:eastAsia="Times New Roman"/>
        </w:rPr>
        <w:tab/>
        <w:t>scars)—most common with Naproxen and in fair-skinned individuals.</w:t>
      </w:r>
    </w:p>
    <w:p w14:paraId="3D842764" w14:textId="77777777" w:rsidR="00700D4B" w:rsidRPr="00700D4B" w:rsidRDefault="00700D4B" w:rsidP="00700D4B">
      <w:pPr>
        <w:pStyle w:val="ListParagraph"/>
        <w:jc w:val="both"/>
        <w:rPr>
          <w:rFonts w:eastAsia="Times New Roman"/>
        </w:rPr>
      </w:pPr>
    </w:p>
    <w:p w14:paraId="11E80F1B" w14:textId="77777777" w:rsidR="00700D4B" w:rsidRPr="00700D4B" w:rsidRDefault="00700D4B" w:rsidP="00700D4B">
      <w:pPr>
        <w:pStyle w:val="ListParagraph"/>
        <w:tabs>
          <w:tab w:val="left" w:pos="340"/>
        </w:tabs>
        <w:jc w:val="both"/>
        <w:rPr>
          <w:rFonts w:eastAsia="Times New Roman"/>
        </w:rPr>
      </w:pPr>
    </w:p>
    <w:p w14:paraId="0E98483E" w14:textId="77777777" w:rsidR="00700D4B" w:rsidRPr="00700D4B" w:rsidRDefault="00700D4B" w:rsidP="00700D4B">
      <w:pPr>
        <w:pStyle w:val="ListParagraph"/>
        <w:numPr>
          <w:ilvl w:val="0"/>
          <w:numId w:val="42"/>
        </w:numPr>
        <w:tabs>
          <w:tab w:val="left" w:pos="340"/>
        </w:tabs>
        <w:jc w:val="both"/>
        <w:rPr>
          <w:rFonts w:eastAsia="Times New Roman"/>
        </w:rPr>
      </w:pPr>
      <w:proofErr w:type="gramStart"/>
      <w:r w:rsidRPr="00700D4B">
        <w:rPr>
          <w:rFonts w:eastAsia="Times New Roman"/>
        </w:rPr>
        <w:t>Respiratory :</w:t>
      </w:r>
      <w:proofErr w:type="gramEnd"/>
      <w:r w:rsidRPr="00700D4B">
        <w:rPr>
          <w:rFonts w:eastAsia="Times New Roman"/>
        </w:rPr>
        <w:t xml:space="preserve">  worsen asthma, alveolitis, pulmonary eosinophilia</w:t>
      </w:r>
    </w:p>
    <w:p w14:paraId="0318264E" w14:textId="77777777" w:rsidR="00700D4B" w:rsidRPr="00700D4B" w:rsidRDefault="00700D4B" w:rsidP="00700D4B">
      <w:pPr>
        <w:pStyle w:val="ListParagraph"/>
        <w:tabs>
          <w:tab w:val="left" w:pos="340"/>
        </w:tabs>
        <w:jc w:val="both"/>
        <w:rPr>
          <w:rFonts w:eastAsia="Times New Roman"/>
        </w:rPr>
      </w:pPr>
    </w:p>
    <w:p w14:paraId="50821F27" w14:textId="77777777" w:rsidR="00700D4B" w:rsidRPr="00700D4B" w:rsidRDefault="00700D4B" w:rsidP="00700D4B">
      <w:pPr>
        <w:pStyle w:val="ListParagraph"/>
        <w:numPr>
          <w:ilvl w:val="0"/>
          <w:numId w:val="42"/>
        </w:numPr>
        <w:tabs>
          <w:tab w:val="left" w:pos="340"/>
        </w:tabs>
        <w:jc w:val="both"/>
        <w:rPr>
          <w:rFonts w:eastAsia="Times New Roman"/>
        </w:rPr>
      </w:pPr>
      <w:r w:rsidRPr="00700D4B">
        <w:rPr>
          <w:rFonts w:eastAsia="Times New Roman"/>
        </w:rPr>
        <w:t xml:space="preserve">Other rare side </w:t>
      </w:r>
      <w:proofErr w:type="gramStart"/>
      <w:r w:rsidRPr="00700D4B">
        <w:rPr>
          <w:rFonts w:eastAsia="Times New Roman"/>
        </w:rPr>
        <w:t>effects :</w:t>
      </w:r>
      <w:proofErr w:type="gramEnd"/>
      <w:r w:rsidRPr="00700D4B">
        <w:rPr>
          <w:rFonts w:eastAsia="Times New Roman"/>
        </w:rPr>
        <w:t xml:space="preserve">  visual disturbances, Stevens–Johnson syndrome, Toxic </w:t>
      </w:r>
      <w:r w:rsidRPr="00700D4B">
        <w:rPr>
          <w:rFonts w:eastAsia="Times New Roman"/>
        </w:rPr>
        <w:tab/>
        <w:t>Epidermal Necrolysis.</w:t>
      </w:r>
    </w:p>
    <w:p w14:paraId="2AF20A71" w14:textId="77777777" w:rsidR="00700D4B" w:rsidRPr="00700D4B" w:rsidRDefault="00700D4B" w:rsidP="00700D4B">
      <w:pPr>
        <w:tabs>
          <w:tab w:val="left" w:pos="340"/>
        </w:tabs>
        <w:ind w:left="199"/>
        <w:rPr>
          <w:rFonts w:eastAsia="Times New Roman"/>
        </w:rPr>
      </w:pPr>
    </w:p>
    <w:tbl>
      <w:tblPr>
        <w:tblStyle w:val="TableGrid"/>
        <w:tblW w:w="9010" w:type="dxa"/>
        <w:tblInd w:w="199" w:type="dxa"/>
        <w:tblLook w:val="04A0" w:firstRow="1" w:lastRow="0" w:firstColumn="1" w:lastColumn="0" w:noHBand="0" w:noVBand="1"/>
      </w:tblPr>
      <w:tblGrid>
        <w:gridCol w:w="1764"/>
        <w:gridCol w:w="1151"/>
        <w:gridCol w:w="1843"/>
        <w:gridCol w:w="1984"/>
        <w:gridCol w:w="2268"/>
      </w:tblGrid>
      <w:tr w:rsidR="00700D4B" w:rsidRPr="00700D4B" w14:paraId="2AA92B11" w14:textId="77777777" w:rsidTr="00AC1DA8">
        <w:tc>
          <w:tcPr>
            <w:tcW w:w="9010" w:type="dxa"/>
            <w:gridSpan w:val="5"/>
            <w:shd w:val="clear" w:color="auto" w:fill="EEECE1" w:themeFill="background2"/>
          </w:tcPr>
          <w:p w14:paraId="2287516B" w14:textId="77777777" w:rsidR="00700D4B" w:rsidRPr="00700D4B" w:rsidRDefault="00700D4B" w:rsidP="00AC1DA8">
            <w:pPr>
              <w:tabs>
                <w:tab w:val="left" w:pos="340"/>
              </w:tabs>
              <w:jc w:val="center"/>
              <w:rPr>
                <w:rFonts w:eastAsia="Times New Roman"/>
                <w:b/>
              </w:rPr>
            </w:pPr>
            <w:r w:rsidRPr="00700D4B">
              <w:rPr>
                <w:rFonts w:eastAsia="Times New Roman"/>
                <w:b/>
              </w:rPr>
              <w:t>Table 1 Dosage/administration/formulations</w:t>
            </w:r>
          </w:p>
          <w:p w14:paraId="3C4B2A79" w14:textId="77777777" w:rsidR="00700D4B" w:rsidRPr="00700D4B" w:rsidRDefault="00700D4B" w:rsidP="00AC1DA8">
            <w:pPr>
              <w:tabs>
                <w:tab w:val="left" w:pos="340"/>
              </w:tabs>
              <w:jc w:val="center"/>
              <w:rPr>
                <w:rFonts w:eastAsia="Times New Roman"/>
              </w:rPr>
            </w:pPr>
          </w:p>
        </w:tc>
      </w:tr>
      <w:tr w:rsidR="00700D4B" w:rsidRPr="00700D4B" w14:paraId="51482A8D" w14:textId="77777777" w:rsidTr="00AC1DA8">
        <w:tc>
          <w:tcPr>
            <w:tcW w:w="1764" w:type="dxa"/>
            <w:shd w:val="clear" w:color="auto" w:fill="EEECE1" w:themeFill="background2"/>
          </w:tcPr>
          <w:p w14:paraId="36E5ED1D" w14:textId="77777777" w:rsidR="00700D4B" w:rsidRPr="00700D4B" w:rsidRDefault="00700D4B" w:rsidP="00AC1DA8">
            <w:pPr>
              <w:tabs>
                <w:tab w:val="left" w:pos="340"/>
              </w:tabs>
              <w:jc w:val="center"/>
              <w:rPr>
                <w:rFonts w:eastAsia="Times New Roman"/>
              </w:rPr>
            </w:pPr>
            <w:r w:rsidRPr="00700D4B">
              <w:rPr>
                <w:rFonts w:eastAsia="Times New Roman"/>
                <w:b/>
                <w:sz w:val="20"/>
              </w:rPr>
              <w:t>Drug</w:t>
            </w:r>
          </w:p>
        </w:tc>
        <w:tc>
          <w:tcPr>
            <w:tcW w:w="1151" w:type="dxa"/>
            <w:shd w:val="clear" w:color="auto" w:fill="EEECE1" w:themeFill="background2"/>
          </w:tcPr>
          <w:p w14:paraId="2DC64562" w14:textId="77777777" w:rsidR="00700D4B" w:rsidRPr="00700D4B" w:rsidRDefault="00700D4B" w:rsidP="00AC1DA8">
            <w:pPr>
              <w:tabs>
                <w:tab w:val="left" w:pos="340"/>
              </w:tabs>
              <w:jc w:val="center"/>
              <w:rPr>
                <w:rFonts w:eastAsia="Times New Roman"/>
              </w:rPr>
            </w:pPr>
            <w:r w:rsidRPr="00700D4B">
              <w:rPr>
                <w:rFonts w:eastAsia="Times New Roman"/>
                <w:b/>
                <w:sz w:val="20"/>
              </w:rPr>
              <w:t>Age</w:t>
            </w:r>
          </w:p>
        </w:tc>
        <w:tc>
          <w:tcPr>
            <w:tcW w:w="1843" w:type="dxa"/>
            <w:shd w:val="clear" w:color="auto" w:fill="EEECE1" w:themeFill="background2"/>
          </w:tcPr>
          <w:p w14:paraId="2A607DE5" w14:textId="77777777" w:rsidR="00700D4B" w:rsidRPr="00700D4B" w:rsidRDefault="00700D4B" w:rsidP="00AC1DA8">
            <w:pPr>
              <w:tabs>
                <w:tab w:val="left" w:pos="340"/>
              </w:tabs>
              <w:jc w:val="center"/>
              <w:rPr>
                <w:rFonts w:eastAsia="Times New Roman"/>
              </w:rPr>
            </w:pPr>
            <w:r w:rsidRPr="00700D4B">
              <w:rPr>
                <w:rFonts w:eastAsia="Times New Roman"/>
                <w:b/>
                <w:sz w:val="20"/>
              </w:rPr>
              <w:t>Dose</w:t>
            </w:r>
          </w:p>
        </w:tc>
        <w:tc>
          <w:tcPr>
            <w:tcW w:w="1984" w:type="dxa"/>
            <w:shd w:val="clear" w:color="auto" w:fill="EEECE1" w:themeFill="background2"/>
          </w:tcPr>
          <w:p w14:paraId="52CA83FF" w14:textId="77777777" w:rsidR="00700D4B" w:rsidRPr="00700D4B" w:rsidRDefault="00700D4B" w:rsidP="00AC1DA8">
            <w:pPr>
              <w:tabs>
                <w:tab w:val="left" w:pos="340"/>
              </w:tabs>
              <w:jc w:val="center"/>
              <w:rPr>
                <w:rFonts w:eastAsia="Times New Roman"/>
              </w:rPr>
            </w:pPr>
            <w:r w:rsidRPr="00700D4B">
              <w:rPr>
                <w:rFonts w:eastAsia="Times New Roman"/>
                <w:b/>
                <w:sz w:val="20"/>
              </w:rPr>
              <w:t>Formulations</w:t>
            </w:r>
          </w:p>
        </w:tc>
        <w:tc>
          <w:tcPr>
            <w:tcW w:w="2268" w:type="dxa"/>
            <w:shd w:val="clear" w:color="auto" w:fill="EEECE1" w:themeFill="background2"/>
          </w:tcPr>
          <w:p w14:paraId="3E36A441" w14:textId="77777777" w:rsidR="00700D4B" w:rsidRPr="00700D4B" w:rsidRDefault="00700D4B" w:rsidP="00AC1DA8">
            <w:pPr>
              <w:tabs>
                <w:tab w:val="left" w:pos="340"/>
              </w:tabs>
              <w:jc w:val="center"/>
              <w:rPr>
                <w:rFonts w:eastAsia="Times New Roman"/>
              </w:rPr>
            </w:pPr>
            <w:r w:rsidRPr="00700D4B">
              <w:rPr>
                <w:rFonts w:eastAsia="Times New Roman"/>
                <w:b/>
                <w:sz w:val="20"/>
              </w:rPr>
              <w:t>Comments</w:t>
            </w:r>
          </w:p>
        </w:tc>
      </w:tr>
      <w:tr w:rsidR="00700D4B" w:rsidRPr="00700D4B" w14:paraId="768826EE" w14:textId="77777777" w:rsidTr="00AC1DA8">
        <w:tc>
          <w:tcPr>
            <w:tcW w:w="1764" w:type="dxa"/>
            <w:shd w:val="clear" w:color="auto" w:fill="F2DBDB" w:themeFill="accent2" w:themeFillTint="33"/>
          </w:tcPr>
          <w:p w14:paraId="5895545D" w14:textId="77777777" w:rsidR="00700D4B" w:rsidRPr="00700D4B" w:rsidRDefault="00700D4B" w:rsidP="00AC1DA8">
            <w:pPr>
              <w:rPr>
                <w:rFonts w:eastAsia="Times New Roman"/>
                <w:b/>
                <w:sz w:val="20"/>
              </w:rPr>
            </w:pPr>
            <w:r w:rsidRPr="00700D4B">
              <w:rPr>
                <w:rFonts w:eastAsia="Times New Roman"/>
                <w:b/>
                <w:sz w:val="20"/>
              </w:rPr>
              <w:t>Ibuprofen</w:t>
            </w:r>
          </w:p>
          <w:p w14:paraId="73D25843" w14:textId="77777777" w:rsidR="00700D4B" w:rsidRPr="00700D4B" w:rsidRDefault="00700D4B" w:rsidP="00AC1DA8">
            <w:pPr>
              <w:tabs>
                <w:tab w:val="left" w:pos="340"/>
              </w:tabs>
              <w:rPr>
                <w:rFonts w:eastAsia="Times New Roman"/>
              </w:rPr>
            </w:pPr>
          </w:p>
        </w:tc>
        <w:tc>
          <w:tcPr>
            <w:tcW w:w="1151" w:type="dxa"/>
            <w:shd w:val="clear" w:color="auto" w:fill="F2DBDB" w:themeFill="accent2" w:themeFillTint="33"/>
          </w:tcPr>
          <w:p w14:paraId="6790F26E" w14:textId="77777777" w:rsidR="00700D4B" w:rsidRPr="00700D4B" w:rsidRDefault="00700D4B" w:rsidP="00AC1DA8">
            <w:pPr>
              <w:tabs>
                <w:tab w:val="left" w:pos="340"/>
              </w:tabs>
              <w:rPr>
                <w:rFonts w:eastAsia="Times New Roman"/>
              </w:rPr>
            </w:pPr>
            <w:r w:rsidRPr="00700D4B">
              <w:rPr>
                <w:rFonts w:eastAsia="Times New Roman"/>
                <w:sz w:val="20"/>
              </w:rPr>
              <w:t>&gt;3 months</w:t>
            </w:r>
          </w:p>
        </w:tc>
        <w:tc>
          <w:tcPr>
            <w:tcW w:w="1843" w:type="dxa"/>
            <w:shd w:val="clear" w:color="auto" w:fill="F2DBDB" w:themeFill="accent2" w:themeFillTint="33"/>
          </w:tcPr>
          <w:p w14:paraId="3EB15BF9" w14:textId="77777777" w:rsidR="00700D4B" w:rsidRPr="00700D4B" w:rsidRDefault="00700D4B" w:rsidP="00AC1DA8">
            <w:pPr>
              <w:rPr>
                <w:rFonts w:eastAsia="Times New Roman"/>
                <w:sz w:val="20"/>
              </w:rPr>
            </w:pPr>
            <w:r w:rsidRPr="00700D4B">
              <w:rPr>
                <w:rFonts w:eastAsia="Times New Roman"/>
                <w:sz w:val="20"/>
              </w:rPr>
              <w:t>10mg/kg</w:t>
            </w:r>
          </w:p>
          <w:p w14:paraId="35223C85" w14:textId="77777777" w:rsidR="00700D4B" w:rsidRPr="00700D4B" w:rsidRDefault="00700D4B" w:rsidP="00AC1DA8">
            <w:pPr>
              <w:rPr>
                <w:rFonts w:eastAsia="Times New Roman"/>
                <w:sz w:val="20"/>
              </w:rPr>
            </w:pPr>
            <w:r w:rsidRPr="00700D4B">
              <w:rPr>
                <w:rFonts w:eastAsia="Times New Roman"/>
                <w:sz w:val="20"/>
              </w:rPr>
              <w:t>3–4 times a day</w:t>
            </w:r>
          </w:p>
          <w:p w14:paraId="7D7884B7" w14:textId="77777777" w:rsidR="00700D4B" w:rsidRPr="00700D4B" w:rsidRDefault="00700D4B" w:rsidP="00AC1DA8">
            <w:pPr>
              <w:tabs>
                <w:tab w:val="left" w:pos="340"/>
              </w:tabs>
              <w:rPr>
                <w:rFonts w:eastAsia="Times New Roman"/>
              </w:rPr>
            </w:pPr>
          </w:p>
        </w:tc>
        <w:tc>
          <w:tcPr>
            <w:tcW w:w="1984" w:type="dxa"/>
            <w:shd w:val="clear" w:color="auto" w:fill="F2DBDB" w:themeFill="accent2" w:themeFillTint="33"/>
          </w:tcPr>
          <w:p w14:paraId="13886ED9" w14:textId="77777777" w:rsidR="00700D4B" w:rsidRPr="00700D4B" w:rsidRDefault="00700D4B" w:rsidP="00AC1DA8">
            <w:pPr>
              <w:rPr>
                <w:rFonts w:eastAsia="Times New Roman"/>
                <w:sz w:val="20"/>
              </w:rPr>
            </w:pPr>
            <w:r w:rsidRPr="00700D4B">
              <w:rPr>
                <w:rFonts w:eastAsia="Times New Roman"/>
                <w:sz w:val="20"/>
              </w:rPr>
              <w:t>200mg and 400mg Tablets</w:t>
            </w:r>
          </w:p>
          <w:p w14:paraId="741132CD" w14:textId="77777777" w:rsidR="00700D4B" w:rsidRPr="00700D4B" w:rsidRDefault="00700D4B" w:rsidP="00AC1DA8">
            <w:pPr>
              <w:rPr>
                <w:rFonts w:eastAsia="Times New Roman"/>
                <w:sz w:val="20"/>
              </w:rPr>
            </w:pPr>
            <w:r w:rsidRPr="00700D4B">
              <w:rPr>
                <w:rFonts w:eastAsia="Times New Roman"/>
                <w:sz w:val="20"/>
              </w:rPr>
              <w:t>100mg in 5ml Suspension</w:t>
            </w:r>
          </w:p>
          <w:p w14:paraId="52D6D69C" w14:textId="77777777" w:rsidR="00700D4B" w:rsidRPr="00700D4B" w:rsidRDefault="00700D4B" w:rsidP="00AC1DA8">
            <w:pPr>
              <w:tabs>
                <w:tab w:val="left" w:pos="340"/>
              </w:tabs>
              <w:rPr>
                <w:rFonts w:eastAsia="Times New Roman"/>
              </w:rPr>
            </w:pPr>
          </w:p>
        </w:tc>
        <w:tc>
          <w:tcPr>
            <w:tcW w:w="2268" w:type="dxa"/>
            <w:shd w:val="clear" w:color="auto" w:fill="F2DBDB" w:themeFill="accent2" w:themeFillTint="33"/>
          </w:tcPr>
          <w:p w14:paraId="16F40D7E" w14:textId="77777777" w:rsidR="00700D4B" w:rsidRPr="00700D4B" w:rsidRDefault="00700D4B" w:rsidP="00AC1DA8">
            <w:pPr>
              <w:rPr>
                <w:rFonts w:eastAsia="Times New Roman"/>
                <w:sz w:val="20"/>
              </w:rPr>
            </w:pPr>
            <w:r w:rsidRPr="00700D4B">
              <w:rPr>
                <w:rFonts w:eastAsia="Times New Roman"/>
                <w:sz w:val="20"/>
              </w:rPr>
              <w:t>Weakest NSAID, but least side effects.</w:t>
            </w:r>
          </w:p>
          <w:p w14:paraId="2BB6670D" w14:textId="77777777" w:rsidR="00700D4B" w:rsidRPr="00700D4B" w:rsidRDefault="00700D4B" w:rsidP="00AC1DA8">
            <w:pPr>
              <w:rPr>
                <w:rFonts w:eastAsia="Times New Roman"/>
                <w:sz w:val="20"/>
              </w:rPr>
            </w:pPr>
            <w:r w:rsidRPr="00700D4B">
              <w:rPr>
                <w:rFonts w:eastAsia="Times New Roman"/>
                <w:sz w:val="20"/>
              </w:rPr>
              <w:t xml:space="preserve">Avoid high doses in uncontrolled </w:t>
            </w:r>
            <w:proofErr w:type="gramStart"/>
            <w:r w:rsidRPr="00700D4B">
              <w:rPr>
                <w:rFonts w:eastAsia="Times New Roman"/>
                <w:sz w:val="20"/>
              </w:rPr>
              <w:t>hypertension</w:t>
            </w:r>
            <w:proofErr w:type="gramEnd"/>
          </w:p>
          <w:p w14:paraId="0F9C341E" w14:textId="77777777" w:rsidR="00700D4B" w:rsidRPr="00700D4B" w:rsidRDefault="00700D4B" w:rsidP="00AC1DA8">
            <w:pPr>
              <w:tabs>
                <w:tab w:val="left" w:pos="340"/>
              </w:tabs>
              <w:rPr>
                <w:rFonts w:eastAsia="Times New Roman"/>
              </w:rPr>
            </w:pPr>
            <w:r w:rsidRPr="00700D4B">
              <w:rPr>
                <w:rFonts w:eastAsia="Times New Roman"/>
                <w:sz w:val="20"/>
              </w:rPr>
              <w:t>Weaker anti-inflammatory properties</w:t>
            </w:r>
          </w:p>
        </w:tc>
      </w:tr>
      <w:tr w:rsidR="00700D4B" w:rsidRPr="00700D4B" w14:paraId="574B6ED1" w14:textId="77777777" w:rsidTr="00AC1DA8">
        <w:tc>
          <w:tcPr>
            <w:tcW w:w="1764" w:type="dxa"/>
            <w:shd w:val="clear" w:color="auto" w:fill="B8CCE4" w:themeFill="accent1" w:themeFillTint="66"/>
          </w:tcPr>
          <w:p w14:paraId="604A75F7" w14:textId="77777777" w:rsidR="00700D4B" w:rsidRPr="00700D4B" w:rsidRDefault="00700D4B" w:rsidP="00AC1DA8">
            <w:pPr>
              <w:tabs>
                <w:tab w:val="left" w:pos="340"/>
              </w:tabs>
              <w:rPr>
                <w:rFonts w:eastAsia="Times New Roman"/>
              </w:rPr>
            </w:pPr>
            <w:r w:rsidRPr="00700D4B">
              <w:rPr>
                <w:rFonts w:eastAsia="Times New Roman"/>
                <w:b/>
                <w:sz w:val="20"/>
              </w:rPr>
              <w:t>Naproxen</w:t>
            </w:r>
          </w:p>
        </w:tc>
        <w:tc>
          <w:tcPr>
            <w:tcW w:w="1151" w:type="dxa"/>
            <w:shd w:val="clear" w:color="auto" w:fill="B8CCE4" w:themeFill="accent1" w:themeFillTint="66"/>
          </w:tcPr>
          <w:p w14:paraId="239C682A" w14:textId="77777777" w:rsidR="00700D4B" w:rsidRPr="00700D4B" w:rsidRDefault="00700D4B" w:rsidP="00AC1DA8">
            <w:pPr>
              <w:tabs>
                <w:tab w:val="left" w:pos="340"/>
              </w:tabs>
              <w:rPr>
                <w:rFonts w:eastAsia="Times New Roman"/>
              </w:rPr>
            </w:pPr>
            <w:r w:rsidRPr="00700D4B">
              <w:rPr>
                <w:rFonts w:eastAsia="Times New Roman"/>
                <w:sz w:val="20"/>
              </w:rPr>
              <w:t>&gt;2yr</w:t>
            </w:r>
          </w:p>
        </w:tc>
        <w:tc>
          <w:tcPr>
            <w:tcW w:w="1843" w:type="dxa"/>
            <w:shd w:val="clear" w:color="auto" w:fill="B8CCE4" w:themeFill="accent1" w:themeFillTint="66"/>
          </w:tcPr>
          <w:p w14:paraId="4254C828" w14:textId="77777777" w:rsidR="00700D4B" w:rsidRPr="00700D4B" w:rsidRDefault="00700D4B" w:rsidP="00AC1DA8">
            <w:pPr>
              <w:rPr>
                <w:rFonts w:eastAsia="Times New Roman"/>
                <w:sz w:val="20"/>
              </w:rPr>
            </w:pPr>
            <w:r w:rsidRPr="00700D4B">
              <w:rPr>
                <w:rFonts w:eastAsia="Times New Roman"/>
                <w:sz w:val="20"/>
              </w:rPr>
              <w:t>5-7.5mg/kg</w:t>
            </w:r>
          </w:p>
          <w:p w14:paraId="498F8983" w14:textId="77777777" w:rsidR="00700D4B" w:rsidRPr="00700D4B" w:rsidRDefault="00700D4B" w:rsidP="00AC1DA8">
            <w:pPr>
              <w:tabs>
                <w:tab w:val="left" w:pos="340"/>
              </w:tabs>
              <w:rPr>
                <w:rFonts w:eastAsia="Times New Roman"/>
              </w:rPr>
            </w:pPr>
            <w:r w:rsidRPr="00700D4B">
              <w:rPr>
                <w:rFonts w:eastAsia="Times New Roman"/>
                <w:sz w:val="20"/>
              </w:rPr>
              <w:t>Twice a day</w:t>
            </w:r>
          </w:p>
          <w:p w14:paraId="229B3E68" w14:textId="77777777" w:rsidR="00700D4B" w:rsidRPr="00700D4B" w:rsidRDefault="00700D4B" w:rsidP="00AC1DA8">
            <w:pPr>
              <w:tabs>
                <w:tab w:val="left" w:pos="340"/>
              </w:tabs>
              <w:rPr>
                <w:rFonts w:eastAsia="Times New Roman"/>
              </w:rPr>
            </w:pPr>
          </w:p>
        </w:tc>
        <w:tc>
          <w:tcPr>
            <w:tcW w:w="1984" w:type="dxa"/>
            <w:shd w:val="clear" w:color="auto" w:fill="B8CCE4" w:themeFill="accent1" w:themeFillTint="66"/>
          </w:tcPr>
          <w:p w14:paraId="38B5F120" w14:textId="77777777" w:rsidR="00700D4B" w:rsidRPr="00700D4B" w:rsidRDefault="00700D4B" w:rsidP="00AC1DA8">
            <w:pPr>
              <w:rPr>
                <w:rFonts w:eastAsia="Times New Roman"/>
                <w:sz w:val="20"/>
              </w:rPr>
            </w:pPr>
            <w:r w:rsidRPr="00700D4B">
              <w:rPr>
                <w:rFonts w:eastAsia="Times New Roman"/>
                <w:sz w:val="20"/>
              </w:rPr>
              <w:t>250mg and 500mg Tablets</w:t>
            </w:r>
          </w:p>
          <w:p w14:paraId="36F02E32" w14:textId="77777777" w:rsidR="00700D4B" w:rsidRPr="00700D4B" w:rsidRDefault="00700D4B" w:rsidP="00AC1DA8">
            <w:pPr>
              <w:rPr>
                <w:rFonts w:eastAsia="Times New Roman"/>
                <w:sz w:val="20"/>
              </w:rPr>
            </w:pPr>
            <w:r w:rsidRPr="00700D4B">
              <w:rPr>
                <w:rFonts w:eastAsia="Times New Roman"/>
                <w:sz w:val="20"/>
              </w:rPr>
              <w:t>125mg in 5ml and 250mg in 5ml Suspension more cost effective</w:t>
            </w:r>
          </w:p>
          <w:p w14:paraId="3728F846" w14:textId="77777777" w:rsidR="00700D4B" w:rsidRPr="00700D4B" w:rsidRDefault="00700D4B" w:rsidP="00AC1DA8">
            <w:pPr>
              <w:tabs>
                <w:tab w:val="left" w:pos="340"/>
              </w:tabs>
              <w:rPr>
                <w:rFonts w:eastAsia="Times New Roman"/>
              </w:rPr>
            </w:pPr>
          </w:p>
        </w:tc>
        <w:tc>
          <w:tcPr>
            <w:tcW w:w="2268" w:type="dxa"/>
            <w:shd w:val="clear" w:color="auto" w:fill="B8CCE4" w:themeFill="accent1" w:themeFillTint="66"/>
          </w:tcPr>
          <w:p w14:paraId="39C9738A" w14:textId="77777777" w:rsidR="00700D4B" w:rsidRPr="00700D4B" w:rsidRDefault="00700D4B" w:rsidP="00AC1DA8">
            <w:pPr>
              <w:rPr>
                <w:rFonts w:eastAsia="Times New Roman"/>
                <w:sz w:val="20"/>
              </w:rPr>
            </w:pPr>
            <w:r w:rsidRPr="00700D4B">
              <w:rPr>
                <w:rFonts w:eastAsia="Times New Roman"/>
                <w:sz w:val="20"/>
              </w:rPr>
              <w:t>Good efficacy.</w:t>
            </w:r>
          </w:p>
          <w:p w14:paraId="0062545F" w14:textId="77777777" w:rsidR="00700D4B" w:rsidRPr="00700D4B" w:rsidRDefault="00700D4B" w:rsidP="00AC1DA8">
            <w:pPr>
              <w:tabs>
                <w:tab w:val="left" w:pos="340"/>
              </w:tabs>
              <w:rPr>
                <w:rFonts w:eastAsia="Times New Roman"/>
              </w:rPr>
            </w:pPr>
            <w:r w:rsidRPr="00700D4B">
              <w:rPr>
                <w:rFonts w:eastAsia="Times New Roman"/>
                <w:sz w:val="20"/>
              </w:rPr>
              <w:t xml:space="preserve">Generally low incidence of side </w:t>
            </w:r>
            <w:r w:rsidRPr="00700D4B">
              <w:rPr>
                <w:rFonts w:eastAsia="Times New Roman"/>
                <w:spacing w:val="-1"/>
                <w:sz w:val="20"/>
              </w:rPr>
              <w:t xml:space="preserve">effects but associated with </w:t>
            </w:r>
            <w:proofErr w:type="spellStart"/>
            <w:r w:rsidRPr="00700D4B">
              <w:rPr>
                <w:rFonts w:eastAsia="Times New Roman"/>
                <w:spacing w:val="-1"/>
                <w:sz w:val="20"/>
              </w:rPr>
              <w:t>pseudoporphyria</w:t>
            </w:r>
            <w:proofErr w:type="spellEnd"/>
            <w:r w:rsidRPr="00700D4B">
              <w:rPr>
                <w:rFonts w:eastAsia="Times New Roman"/>
                <w:spacing w:val="-1"/>
                <w:sz w:val="20"/>
              </w:rPr>
              <w:t xml:space="preserve"> in JIA</w:t>
            </w:r>
          </w:p>
        </w:tc>
      </w:tr>
      <w:tr w:rsidR="00700D4B" w:rsidRPr="00700D4B" w14:paraId="38B00553" w14:textId="77777777" w:rsidTr="00AC1DA8">
        <w:tc>
          <w:tcPr>
            <w:tcW w:w="1764" w:type="dxa"/>
            <w:shd w:val="clear" w:color="auto" w:fill="FBD4B4" w:themeFill="accent6" w:themeFillTint="66"/>
          </w:tcPr>
          <w:p w14:paraId="03E72B83" w14:textId="77777777" w:rsidR="00700D4B" w:rsidRPr="00700D4B" w:rsidRDefault="00700D4B" w:rsidP="00AC1DA8">
            <w:pPr>
              <w:tabs>
                <w:tab w:val="left" w:pos="340"/>
              </w:tabs>
              <w:rPr>
                <w:rFonts w:eastAsia="Times New Roman"/>
              </w:rPr>
            </w:pPr>
            <w:r w:rsidRPr="00700D4B">
              <w:rPr>
                <w:rFonts w:eastAsia="Times New Roman"/>
                <w:b/>
                <w:sz w:val="20"/>
              </w:rPr>
              <w:t>Diclofenac sodium</w:t>
            </w:r>
          </w:p>
        </w:tc>
        <w:tc>
          <w:tcPr>
            <w:tcW w:w="1151" w:type="dxa"/>
            <w:shd w:val="clear" w:color="auto" w:fill="FBD4B4" w:themeFill="accent6" w:themeFillTint="66"/>
          </w:tcPr>
          <w:p w14:paraId="567CEB73" w14:textId="77777777" w:rsidR="00700D4B" w:rsidRPr="00700D4B" w:rsidRDefault="00700D4B" w:rsidP="00AC1DA8">
            <w:pPr>
              <w:tabs>
                <w:tab w:val="left" w:pos="340"/>
              </w:tabs>
              <w:rPr>
                <w:rFonts w:eastAsia="Times New Roman"/>
              </w:rPr>
            </w:pPr>
            <w:r w:rsidRPr="00700D4B">
              <w:rPr>
                <w:rFonts w:eastAsia="Times New Roman"/>
                <w:sz w:val="20"/>
              </w:rPr>
              <w:t>&gt;6 months</w:t>
            </w:r>
          </w:p>
        </w:tc>
        <w:tc>
          <w:tcPr>
            <w:tcW w:w="1843" w:type="dxa"/>
            <w:shd w:val="clear" w:color="auto" w:fill="FBD4B4" w:themeFill="accent6" w:themeFillTint="66"/>
          </w:tcPr>
          <w:p w14:paraId="116170B9" w14:textId="77777777" w:rsidR="00700D4B" w:rsidRPr="00700D4B" w:rsidRDefault="00700D4B" w:rsidP="00AC1DA8">
            <w:pPr>
              <w:rPr>
                <w:rFonts w:eastAsia="Times New Roman"/>
                <w:sz w:val="20"/>
              </w:rPr>
            </w:pPr>
            <w:r w:rsidRPr="00700D4B">
              <w:rPr>
                <w:rFonts w:eastAsia="Times New Roman"/>
                <w:sz w:val="20"/>
              </w:rPr>
              <w:t>1.5–2.5mg/kg</w:t>
            </w:r>
          </w:p>
          <w:p w14:paraId="622E29CB" w14:textId="77777777" w:rsidR="00700D4B" w:rsidRPr="00700D4B" w:rsidRDefault="00700D4B" w:rsidP="00AC1DA8">
            <w:pPr>
              <w:rPr>
                <w:rFonts w:eastAsia="Times New Roman"/>
                <w:sz w:val="20"/>
              </w:rPr>
            </w:pPr>
            <w:r w:rsidRPr="00700D4B">
              <w:rPr>
                <w:rFonts w:eastAsia="Times New Roman"/>
                <w:sz w:val="20"/>
              </w:rPr>
              <w:t xml:space="preserve">Twice a day.  </w:t>
            </w:r>
          </w:p>
          <w:p w14:paraId="2006409E" w14:textId="77777777" w:rsidR="00700D4B" w:rsidRPr="00700D4B" w:rsidRDefault="00700D4B" w:rsidP="00AC1DA8">
            <w:pPr>
              <w:rPr>
                <w:rFonts w:eastAsia="Times New Roman"/>
                <w:sz w:val="20"/>
              </w:rPr>
            </w:pPr>
            <w:r w:rsidRPr="00700D4B">
              <w:rPr>
                <w:rFonts w:eastAsia="Times New Roman"/>
                <w:sz w:val="20"/>
              </w:rPr>
              <w:t>Max 150mg daily</w:t>
            </w:r>
          </w:p>
          <w:p w14:paraId="2AE9A825" w14:textId="77777777" w:rsidR="00700D4B" w:rsidRPr="00700D4B" w:rsidRDefault="00700D4B" w:rsidP="00AC1DA8">
            <w:pPr>
              <w:tabs>
                <w:tab w:val="left" w:pos="340"/>
              </w:tabs>
              <w:rPr>
                <w:rFonts w:eastAsia="Times New Roman"/>
              </w:rPr>
            </w:pPr>
          </w:p>
        </w:tc>
        <w:tc>
          <w:tcPr>
            <w:tcW w:w="1984" w:type="dxa"/>
            <w:shd w:val="clear" w:color="auto" w:fill="FBD4B4" w:themeFill="accent6" w:themeFillTint="66"/>
          </w:tcPr>
          <w:p w14:paraId="60E45680" w14:textId="77777777" w:rsidR="00700D4B" w:rsidRPr="00700D4B" w:rsidRDefault="00700D4B" w:rsidP="00AC1DA8">
            <w:pPr>
              <w:rPr>
                <w:rFonts w:eastAsia="Times New Roman"/>
                <w:sz w:val="20"/>
              </w:rPr>
            </w:pPr>
            <w:r w:rsidRPr="00700D4B">
              <w:rPr>
                <w:rFonts w:eastAsia="Times New Roman"/>
                <w:sz w:val="20"/>
              </w:rPr>
              <w:t>25mg and 50mg Tablets</w:t>
            </w:r>
          </w:p>
          <w:p w14:paraId="32D75C25" w14:textId="77777777" w:rsidR="00700D4B" w:rsidRPr="00700D4B" w:rsidRDefault="00700D4B" w:rsidP="00AC1DA8">
            <w:pPr>
              <w:rPr>
                <w:rFonts w:eastAsia="Times New Roman"/>
                <w:sz w:val="20"/>
              </w:rPr>
            </w:pPr>
            <w:r w:rsidRPr="00700D4B">
              <w:rPr>
                <w:rFonts w:eastAsia="Times New Roman"/>
                <w:sz w:val="20"/>
              </w:rPr>
              <w:t>Dispersible tablets unlicensed special</w:t>
            </w:r>
          </w:p>
          <w:p w14:paraId="0AF6C3A6" w14:textId="77777777" w:rsidR="00700D4B" w:rsidRPr="00700D4B" w:rsidRDefault="00700D4B" w:rsidP="00AC1DA8">
            <w:pPr>
              <w:rPr>
                <w:rFonts w:eastAsia="Times New Roman"/>
                <w:sz w:val="20"/>
              </w:rPr>
            </w:pPr>
            <w:r w:rsidRPr="00700D4B">
              <w:rPr>
                <w:rFonts w:eastAsia="Times New Roman"/>
                <w:sz w:val="20"/>
              </w:rPr>
              <w:t xml:space="preserve">25mg, 50mg, 100mg modified release </w:t>
            </w:r>
            <w:proofErr w:type="gramStart"/>
            <w:r w:rsidRPr="00700D4B">
              <w:rPr>
                <w:rFonts w:eastAsia="Times New Roman"/>
                <w:sz w:val="20"/>
              </w:rPr>
              <w:t>tablets</w:t>
            </w:r>
            <w:proofErr w:type="gramEnd"/>
          </w:p>
          <w:p w14:paraId="37BC605E" w14:textId="77777777" w:rsidR="00700D4B" w:rsidRPr="00700D4B" w:rsidRDefault="00700D4B" w:rsidP="00AC1DA8">
            <w:pPr>
              <w:tabs>
                <w:tab w:val="left" w:pos="340"/>
              </w:tabs>
              <w:rPr>
                <w:rFonts w:eastAsia="Times New Roman"/>
              </w:rPr>
            </w:pPr>
            <w:r w:rsidRPr="00700D4B">
              <w:rPr>
                <w:rFonts w:eastAsia="Times New Roman"/>
                <w:sz w:val="20"/>
              </w:rPr>
              <w:t>100mg Suppositories</w:t>
            </w:r>
          </w:p>
        </w:tc>
        <w:tc>
          <w:tcPr>
            <w:tcW w:w="2268" w:type="dxa"/>
            <w:shd w:val="clear" w:color="auto" w:fill="FBD4B4" w:themeFill="accent6" w:themeFillTint="66"/>
          </w:tcPr>
          <w:p w14:paraId="50C9BE4E" w14:textId="77777777" w:rsidR="00700D4B" w:rsidRPr="00700D4B" w:rsidRDefault="00700D4B" w:rsidP="00AC1DA8">
            <w:pPr>
              <w:rPr>
                <w:rFonts w:eastAsia="Times New Roman"/>
                <w:sz w:val="20"/>
              </w:rPr>
            </w:pPr>
            <w:r w:rsidRPr="00700D4B">
              <w:rPr>
                <w:rFonts w:eastAsia="Times New Roman"/>
                <w:sz w:val="20"/>
              </w:rPr>
              <w:t>Similar actions and side effects to Naproxen</w:t>
            </w:r>
          </w:p>
          <w:p w14:paraId="66968D1A" w14:textId="77777777" w:rsidR="00700D4B" w:rsidRPr="00700D4B" w:rsidRDefault="00700D4B" w:rsidP="00AC1DA8">
            <w:pPr>
              <w:tabs>
                <w:tab w:val="left" w:pos="340"/>
              </w:tabs>
              <w:rPr>
                <w:rFonts w:eastAsia="Times New Roman"/>
              </w:rPr>
            </w:pPr>
          </w:p>
        </w:tc>
      </w:tr>
      <w:tr w:rsidR="00700D4B" w:rsidRPr="00700D4B" w14:paraId="14F89970" w14:textId="77777777" w:rsidTr="00AC1DA8">
        <w:tc>
          <w:tcPr>
            <w:tcW w:w="1764" w:type="dxa"/>
            <w:shd w:val="clear" w:color="auto" w:fill="E5DFEC" w:themeFill="accent4" w:themeFillTint="33"/>
          </w:tcPr>
          <w:p w14:paraId="53C903B0" w14:textId="77777777" w:rsidR="00700D4B" w:rsidRPr="00700D4B" w:rsidRDefault="00700D4B" w:rsidP="00AC1DA8">
            <w:pPr>
              <w:tabs>
                <w:tab w:val="left" w:pos="340"/>
              </w:tabs>
              <w:rPr>
                <w:rFonts w:eastAsia="Times New Roman"/>
              </w:rPr>
            </w:pPr>
            <w:r w:rsidRPr="00700D4B">
              <w:rPr>
                <w:rFonts w:eastAsia="Times New Roman"/>
                <w:b/>
                <w:sz w:val="20"/>
              </w:rPr>
              <w:t>Piroxicam</w:t>
            </w:r>
          </w:p>
        </w:tc>
        <w:tc>
          <w:tcPr>
            <w:tcW w:w="1151" w:type="dxa"/>
            <w:shd w:val="clear" w:color="auto" w:fill="E5DFEC" w:themeFill="accent4" w:themeFillTint="33"/>
          </w:tcPr>
          <w:p w14:paraId="619F5C2A" w14:textId="77777777" w:rsidR="00700D4B" w:rsidRPr="00700D4B" w:rsidRDefault="00700D4B" w:rsidP="00AC1DA8">
            <w:pPr>
              <w:tabs>
                <w:tab w:val="left" w:pos="340"/>
              </w:tabs>
              <w:rPr>
                <w:rFonts w:eastAsia="Times New Roman"/>
              </w:rPr>
            </w:pPr>
            <w:r w:rsidRPr="00700D4B">
              <w:rPr>
                <w:rFonts w:eastAsia="Times New Roman"/>
                <w:sz w:val="20"/>
              </w:rPr>
              <w:t xml:space="preserve">&gt;6 </w:t>
            </w:r>
            <w:proofErr w:type="spellStart"/>
            <w:r w:rsidRPr="00700D4B">
              <w:rPr>
                <w:rFonts w:eastAsia="Times New Roman"/>
                <w:sz w:val="20"/>
              </w:rPr>
              <w:t>yrs</w:t>
            </w:r>
            <w:proofErr w:type="spellEnd"/>
          </w:p>
        </w:tc>
        <w:tc>
          <w:tcPr>
            <w:tcW w:w="1843" w:type="dxa"/>
            <w:shd w:val="clear" w:color="auto" w:fill="E5DFEC" w:themeFill="accent4" w:themeFillTint="33"/>
          </w:tcPr>
          <w:p w14:paraId="399FA04F" w14:textId="77777777" w:rsidR="00700D4B" w:rsidRPr="00700D4B" w:rsidRDefault="00700D4B" w:rsidP="00AC1DA8">
            <w:pPr>
              <w:rPr>
                <w:rFonts w:eastAsia="Times New Roman"/>
                <w:sz w:val="20"/>
              </w:rPr>
            </w:pPr>
            <w:r w:rsidRPr="00700D4B">
              <w:rPr>
                <w:rFonts w:eastAsia="Times New Roman"/>
                <w:sz w:val="20"/>
              </w:rPr>
              <w:t>Up to 15kg: 5mg</w:t>
            </w:r>
          </w:p>
          <w:p w14:paraId="3BD5C380" w14:textId="77777777" w:rsidR="00700D4B" w:rsidRPr="00700D4B" w:rsidRDefault="00700D4B" w:rsidP="00AC1DA8">
            <w:pPr>
              <w:rPr>
                <w:rFonts w:eastAsia="Times New Roman"/>
                <w:sz w:val="20"/>
              </w:rPr>
            </w:pPr>
            <w:r w:rsidRPr="00700D4B">
              <w:rPr>
                <w:rFonts w:eastAsia="Times New Roman"/>
                <w:sz w:val="20"/>
              </w:rPr>
              <w:t>16–25kg: 10mg</w:t>
            </w:r>
          </w:p>
          <w:p w14:paraId="12B9E64F" w14:textId="77777777" w:rsidR="00700D4B" w:rsidRPr="00700D4B" w:rsidRDefault="00700D4B" w:rsidP="00AC1DA8">
            <w:pPr>
              <w:rPr>
                <w:rFonts w:eastAsia="Times New Roman"/>
                <w:sz w:val="20"/>
              </w:rPr>
            </w:pPr>
            <w:r w:rsidRPr="00700D4B">
              <w:rPr>
                <w:rFonts w:eastAsia="Times New Roman"/>
                <w:sz w:val="20"/>
              </w:rPr>
              <w:t>26–45kg: 15mg</w:t>
            </w:r>
          </w:p>
          <w:p w14:paraId="00C53241" w14:textId="77777777" w:rsidR="00700D4B" w:rsidRPr="00700D4B" w:rsidRDefault="00700D4B" w:rsidP="00AC1DA8">
            <w:pPr>
              <w:rPr>
                <w:rFonts w:eastAsia="Times New Roman"/>
                <w:sz w:val="20"/>
              </w:rPr>
            </w:pPr>
            <w:r w:rsidRPr="00700D4B">
              <w:rPr>
                <w:rFonts w:eastAsia="Times New Roman"/>
                <w:sz w:val="20"/>
              </w:rPr>
              <w:t>46kg and over: 20mg</w:t>
            </w:r>
          </w:p>
          <w:p w14:paraId="28259B04" w14:textId="77777777" w:rsidR="00700D4B" w:rsidRPr="00700D4B" w:rsidRDefault="00700D4B" w:rsidP="00AC1DA8">
            <w:pPr>
              <w:rPr>
                <w:rFonts w:eastAsia="Times New Roman"/>
                <w:sz w:val="20"/>
              </w:rPr>
            </w:pPr>
            <w:r w:rsidRPr="00700D4B">
              <w:rPr>
                <w:rFonts w:eastAsia="Times New Roman"/>
                <w:sz w:val="20"/>
              </w:rPr>
              <w:t>Once a day</w:t>
            </w:r>
          </w:p>
          <w:p w14:paraId="45B8B328" w14:textId="77777777" w:rsidR="00700D4B" w:rsidRPr="00700D4B" w:rsidRDefault="00700D4B" w:rsidP="00AC1DA8">
            <w:pPr>
              <w:tabs>
                <w:tab w:val="left" w:pos="340"/>
              </w:tabs>
              <w:rPr>
                <w:rFonts w:eastAsia="Times New Roman"/>
              </w:rPr>
            </w:pPr>
          </w:p>
        </w:tc>
        <w:tc>
          <w:tcPr>
            <w:tcW w:w="1984" w:type="dxa"/>
            <w:shd w:val="clear" w:color="auto" w:fill="E5DFEC" w:themeFill="accent4" w:themeFillTint="33"/>
          </w:tcPr>
          <w:p w14:paraId="59BDEE8B" w14:textId="77777777" w:rsidR="00700D4B" w:rsidRPr="00700D4B" w:rsidRDefault="00700D4B" w:rsidP="00AC1DA8">
            <w:pPr>
              <w:rPr>
                <w:rFonts w:eastAsia="Times New Roman"/>
                <w:sz w:val="20"/>
              </w:rPr>
            </w:pPr>
            <w:r w:rsidRPr="00700D4B">
              <w:rPr>
                <w:rFonts w:eastAsia="Times New Roman"/>
                <w:sz w:val="20"/>
              </w:rPr>
              <w:t>20mg capsules</w:t>
            </w:r>
          </w:p>
          <w:p w14:paraId="667526F5" w14:textId="77777777" w:rsidR="00700D4B" w:rsidRPr="00700D4B" w:rsidRDefault="00700D4B" w:rsidP="00AC1DA8">
            <w:pPr>
              <w:rPr>
                <w:rFonts w:eastAsia="Times New Roman"/>
                <w:sz w:val="20"/>
              </w:rPr>
            </w:pPr>
            <w:r w:rsidRPr="00700D4B">
              <w:rPr>
                <w:rFonts w:eastAsia="Times New Roman"/>
                <w:sz w:val="20"/>
              </w:rPr>
              <w:t xml:space="preserve">10mg and 20mg Dispersible </w:t>
            </w:r>
            <w:r w:rsidRPr="00700D4B">
              <w:rPr>
                <w:rFonts w:eastAsia="Times New Roman"/>
                <w:sz w:val="20"/>
              </w:rPr>
              <w:br/>
              <w:t>tablets / “Melts”</w:t>
            </w:r>
          </w:p>
        </w:tc>
        <w:tc>
          <w:tcPr>
            <w:tcW w:w="2268" w:type="dxa"/>
            <w:shd w:val="clear" w:color="auto" w:fill="E5DFEC" w:themeFill="accent4" w:themeFillTint="33"/>
          </w:tcPr>
          <w:p w14:paraId="37646463" w14:textId="77777777" w:rsidR="00700D4B" w:rsidRPr="00700D4B" w:rsidRDefault="00700D4B" w:rsidP="00AC1DA8">
            <w:pPr>
              <w:rPr>
                <w:rFonts w:eastAsia="Times New Roman"/>
                <w:sz w:val="20"/>
              </w:rPr>
            </w:pPr>
            <w:r w:rsidRPr="00700D4B">
              <w:rPr>
                <w:rFonts w:eastAsia="Times New Roman"/>
                <w:sz w:val="20"/>
              </w:rPr>
              <w:t>More GI side effects, more serious skin reactions</w:t>
            </w:r>
          </w:p>
          <w:p w14:paraId="216C0C93" w14:textId="77777777" w:rsidR="00700D4B" w:rsidRPr="00700D4B" w:rsidRDefault="00700D4B" w:rsidP="00AC1DA8">
            <w:pPr>
              <w:rPr>
                <w:rFonts w:eastAsia="Times New Roman"/>
                <w:sz w:val="20"/>
              </w:rPr>
            </w:pPr>
            <w:r w:rsidRPr="00700D4B">
              <w:rPr>
                <w:rFonts w:eastAsia="Times New Roman"/>
                <w:sz w:val="20"/>
              </w:rPr>
              <w:t>Not 1</w:t>
            </w:r>
            <w:r w:rsidRPr="00700D4B">
              <w:rPr>
                <w:rFonts w:eastAsia="Times New Roman"/>
                <w:sz w:val="20"/>
                <w:vertAlign w:val="superscript"/>
              </w:rPr>
              <w:t>st</w:t>
            </w:r>
            <w:r w:rsidRPr="00700D4B">
              <w:rPr>
                <w:rFonts w:eastAsia="Times New Roman"/>
                <w:sz w:val="20"/>
              </w:rPr>
              <w:t xml:space="preserve"> line </w:t>
            </w:r>
          </w:p>
          <w:p w14:paraId="492B1860" w14:textId="77777777" w:rsidR="00700D4B" w:rsidRPr="00700D4B" w:rsidRDefault="00700D4B" w:rsidP="00AC1DA8">
            <w:pPr>
              <w:rPr>
                <w:rFonts w:eastAsia="Times New Roman"/>
                <w:sz w:val="20"/>
              </w:rPr>
            </w:pPr>
            <w:r w:rsidRPr="00700D4B">
              <w:rPr>
                <w:rFonts w:eastAsia="Times New Roman"/>
                <w:sz w:val="20"/>
              </w:rPr>
              <w:t>As effective as Naproxen</w:t>
            </w:r>
          </w:p>
          <w:p w14:paraId="155304D4" w14:textId="77777777" w:rsidR="00700D4B" w:rsidRPr="00700D4B" w:rsidRDefault="00700D4B" w:rsidP="00AC1DA8">
            <w:pPr>
              <w:rPr>
                <w:rFonts w:eastAsia="Times New Roman"/>
                <w:sz w:val="20"/>
              </w:rPr>
            </w:pPr>
            <w:r w:rsidRPr="00700D4B">
              <w:rPr>
                <w:rFonts w:eastAsia="Times New Roman"/>
                <w:sz w:val="20"/>
              </w:rPr>
              <w:t>Long duration of action</w:t>
            </w:r>
          </w:p>
          <w:p w14:paraId="2CECE659" w14:textId="77777777" w:rsidR="00700D4B" w:rsidRPr="00700D4B" w:rsidRDefault="00700D4B" w:rsidP="00AC1DA8">
            <w:pPr>
              <w:rPr>
                <w:rFonts w:eastAsia="Times New Roman"/>
                <w:sz w:val="20"/>
              </w:rPr>
            </w:pPr>
            <w:r w:rsidRPr="00700D4B">
              <w:rPr>
                <w:rFonts w:eastAsia="Times New Roman"/>
                <w:sz w:val="20"/>
              </w:rPr>
              <w:lastRenderedPageBreak/>
              <w:t xml:space="preserve">Initiate by physicians experienced in treating rheumatic </w:t>
            </w:r>
            <w:proofErr w:type="gramStart"/>
            <w:r w:rsidRPr="00700D4B">
              <w:rPr>
                <w:rFonts w:eastAsia="Times New Roman"/>
                <w:sz w:val="20"/>
              </w:rPr>
              <w:t>disease</w:t>
            </w:r>
            <w:proofErr w:type="gramEnd"/>
          </w:p>
          <w:p w14:paraId="174DBA0E" w14:textId="77777777" w:rsidR="00700D4B" w:rsidRPr="00700D4B" w:rsidRDefault="00700D4B" w:rsidP="00AC1DA8">
            <w:pPr>
              <w:rPr>
                <w:rFonts w:eastAsia="Times New Roman"/>
                <w:sz w:val="20"/>
              </w:rPr>
            </w:pPr>
            <w:r w:rsidRPr="00700D4B">
              <w:rPr>
                <w:rFonts w:eastAsia="Times New Roman"/>
                <w:sz w:val="20"/>
              </w:rPr>
              <w:t xml:space="preserve">Review use after 2 weeks and </w:t>
            </w:r>
            <w:r w:rsidRPr="00700D4B">
              <w:rPr>
                <w:rFonts w:eastAsia="Times New Roman"/>
                <w:spacing w:val="-2"/>
                <w:sz w:val="20"/>
              </w:rPr>
              <w:t>periodically thereafter</w:t>
            </w:r>
          </w:p>
          <w:p w14:paraId="1BE756C6" w14:textId="77777777" w:rsidR="00700D4B" w:rsidRPr="00700D4B" w:rsidRDefault="00700D4B" w:rsidP="00AC1DA8">
            <w:pPr>
              <w:tabs>
                <w:tab w:val="left" w:pos="340"/>
              </w:tabs>
              <w:rPr>
                <w:rFonts w:eastAsia="Times New Roman"/>
              </w:rPr>
            </w:pPr>
          </w:p>
        </w:tc>
      </w:tr>
      <w:tr w:rsidR="00700D4B" w:rsidRPr="00700D4B" w14:paraId="13BEE3C0" w14:textId="77777777" w:rsidTr="00AC1DA8">
        <w:tc>
          <w:tcPr>
            <w:tcW w:w="1764" w:type="dxa"/>
            <w:shd w:val="clear" w:color="auto" w:fill="DBE5F1" w:themeFill="accent1" w:themeFillTint="33"/>
          </w:tcPr>
          <w:p w14:paraId="2023174F" w14:textId="77777777" w:rsidR="00700D4B" w:rsidRPr="00700D4B" w:rsidRDefault="00700D4B" w:rsidP="00AC1DA8">
            <w:pPr>
              <w:rPr>
                <w:rFonts w:eastAsia="Times New Roman"/>
                <w:b/>
                <w:sz w:val="20"/>
              </w:rPr>
            </w:pPr>
            <w:r w:rsidRPr="00700D4B">
              <w:rPr>
                <w:rFonts w:eastAsia="Times New Roman"/>
                <w:b/>
                <w:sz w:val="20"/>
              </w:rPr>
              <w:lastRenderedPageBreak/>
              <w:t>Indomethacin</w:t>
            </w:r>
          </w:p>
          <w:p w14:paraId="7D41FF52" w14:textId="77777777" w:rsidR="00700D4B" w:rsidRPr="00700D4B" w:rsidRDefault="00700D4B" w:rsidP="00AC1DA8">
            <w:pPr>
              <w:tabs>
                <w:tab w:val="left" w:pos="340"/>
              </w:tabs>
              <w:rPr>
                <w:rFonts w:eastAsia="Times New Roman"/>
              </w:rPr>
            </w:pPr>
          </w:p>
        </w:tc>
        <w:tc>
          <w:tcPr>
            <w:tcW w:w="1151" w:type="dxa"/>
            <w:shd w:val="clear" w:color="auto" w:fill="DBE5F1" w:themeFill="accent1" w:themeFillTint="33"/>
          </w:tcPr>
          <w:p w14:paraId="67ECF3E2" w14:textId="77777777" w:rsidR="00700D4B" w:rsidRPr="00700D4B" w:rsidRDefault="00700D4B" w:rsidP="00AC1DA8">
            <w:pPr>
              <w:rPr>
                <w:rFonts w:eastAsia="Times New Roman"/>
                <w:sz w:val="20"/>
              </w:rPr>
            </w:pPr>
            <w:r w:rsidRPr="00700D4B">
              <w:rPr>
                <w:rFonts w:eastAsia="Times New Roman"/>
                <w:sz w:val="20"/>
              </w:rPr>
              <w:t>&gt;1 month</w:t>
            </w:r>
          </w:p>
          <w:p w14:paraId="08551220" w14:textId="77777777" w:rsidR="00700D4B" w:rsidRPr="00700D4B" w:rsidRDefault="00700D4B" w:rsidP="00AC1DA8">
            <w:pPr>
              <w:tabs>
                <w:tab w:val="left" w:pos="340"/>
              </w:tabs>
              <w:rPr>
                <w:rFonts w:eastAsia="Times New Roman"/>
              </w:rPr>
            </w:pPr>
          </w:p>
        </w:tc>
        <w:tc>
          <w:tcPr>
            <w:tcW w:w="1843" w:type="dxa"/>
            <w:shd w:val="clear" w:color="auto" w:fill="DBE5F1" w:themeFill="accent1" w:themeFillTint="33"/>
          </w:tcPr>
          <w:p w14:paraId="42A5141E" w14:textId="77777777" w:rsidR="00700D4B" w:rsidRPr="00700D4B" w:rsidRDefault="00700D4B" w:rsidP="00AC1DA8">
            <w:pPr>
              <w:rPr>
                <w:rFonts w:eastAsia="Times New Roman"/>
                <w:sz w:val="20"/>
              </w:rPr>
            </w:pPr>
            <w:r w:rsidRPr="00700D4B">
              <w:rPr>
                <w:rFonts w:eastAsia="Times New Roman"/>
                <w:sz w:val="20"/>
              </w:rPr>
              <w:t xml:space="preserve">0.5– 1mg/kg/dose </w:t>
            </w:r>
          </w:p>
          <w:p w14:paraId="5201891B" w14:textId="77777777" w:rsidR="00700D4B" w:rsidRPr="00700D4B" w:rsidRDefault="00700D4B" w:rsidP="00AC1DA8">
            <w:pPr>
              <w:rPr>
                <w:rFonts w:eastAsia="Times New Roman"/>
                <w:sz w:val="20"/>
              </w:rPr>
            </w:pPr>
            <w:r w:rsidRPr="00700D4B">
              <w:rPr>
                <w:rFonts w:eastAsia="Times New Roman"/>
                <w:sz w:val="20"/>
              </w:rPr>
              <w:t>Twice a day</w:t>
            </w:r>
          </w:p>
          <w:p w14:paraId="1FF5B238" w14:textId="77777777" w:rsidR="00700D4B" w:rsidRPr="00700D4B" w:rsidRDefault="00700D4B" w:rsidP="00AC1DA8">
            <w:pPr>
              <w:tabs>
                <w:tab w:val="left" w:pos="340"/>
              </w:tabs>
              <w:rPr>
                <w:rFonts w:eastAsia="Times New Roman"/>
              </w:rPr>
            </w:pPr>
          </w:p>
        </w:tc>
        <w:tc>
          <w:tcPr>
            <w:tcW w:w="1984" w:type="dxa"/>
            <w:shd w:val="clear" w:color="auto" w:fill="DBE5F1" w:themeFill="accent1" w:themeFillTint="33"/>
          </w:tcPr>
          <w:p w14:paraId="2FC2C6EA" w14:textId="77777777" w:rsidR="00700D4B" w:rsidRPr="00700D4B" w:rsidRDefault="00700D4B" w:rsidP="00AC1DA8">
            <w:pPr>
              <w:rPr>
                <w:rFonts w:eastAsia="Times New Roman"/>
                <w:sz w:val="20"/>
              </w:rPr>
            </w:pPr>
            <w:r w:rsidRPr="00700D4B">
              <w:rPr>
                <w:rFonts w:eastAsia="Times New Roman"/>
                <w:sz w:val="20"/>
              </w:rPr>
              <w:t>25mg and 50mg Capsules</w:t>
            </w:r>
          </w:p>
          <w:p w14:paraId="5E55DE2A" w14:textId="77777777" w:rsidR="00700D4B" w:rsidRPr="00700D4B" w:rsidRDefault="00700D4B" w:rsidP="00AC1DA8">
            <w:pPr>
              <w:rPr>
                <w:rFonts w:eastAsia="Times New Roman"/>
                <w:sz w:val="20"/>
              </w:rPr>
            </w:pPr>
            <w:r w:rsidRPr="00700D4B">
              <w:rPr>
                <w:rFonts w:eastAsia="Times New Roman"/>
                <w:sz w:val="20"/>
              </w:rPr>
              <w:t>100mg Suppositories</w:t>
            </w:r>
          </w:p>
          <w:p w14:paraId="1F38E553" w14:textId="77777777" w:rsidR="00700D4B" w:rsidRPr="00700D4B" w:rsidRDefault="00700D4B" w:rsidP="00AC1DA8">
            <w:pPr>
              <w:tabs>
                <w:tab w:val="left" w:pos="340"/>
              </w:tabs>
              <w:rPr>
                <w:rFonts w:eastAsia="Times New Roman"/>
              </w:rPr>
            </w:pPr>
          </w:p>
        </w:tc>
        <w:tc>
          <w:tcPr>
            <w:tcW w:w="2268" w:type="dxa"/>
            <w:shd w:val="clear" w:color="auto" w:fill="DBE5F1" w:themeFill="accent1" w:themeFillTint="33"/>
          </w:tcPr>
          <w:p w14:paraId="64C2627D" w14:textId="77777777" w:rsidR="00700D4B" w:rsidRPr="00700D4B" w:rsidRDefault="00700D4B" w:rsidP="00AC1DA8">
            <w:pPr>
              <w:rPr>
                <w:rFonts w:eastAsia="Times New Roman"/>
                <w:sz w:val="20"/>
              </w:rPr>
            </w:pPr>
            <w:r w:rsidRPr="00700D4B">
              <w:rPr>
                <w:rFonts w:eastAsia="Times New Roman"/>
                <w:sz w:val="20"/>
              </w:rPr>
              <w:t xml:space="preserve">Mostly used to treat enthesitis-related arthritis and </w:t>
            </w:r>
            <w:proofErr w:type="spellStart"/>
            <w:proofErr w:type="gramStart"/>
            <w:r w:rsidRPr="00700D4B">
              <w:rPr>
                <w:rFonts w:eastAsia="Times New Roman"/>
                <w:sz w:val="20"/>
              </w:rPr>
              <w:t>sJIA</w:t>
            </w:r>
            <w:proofErr w:type="spellEnd"/>
            <w:proofErr w:type="gramEnd"/>
          </w:p>
          <w:p w14:paraId="10493E3D" w14:textId="77777777" w:rsidR="00700D4B" w:rsidRPr="00700D4B" w:rsidRDefault="00700D4B" w:rsidP="00AC1DA8">
            <w:pPr>
              <w:rPr>
                <w:rFonts w:eastAsia="Times New Roman"/>
                <w:sz w:val="20"/>
              </w:rPr>
            </w:pPr>
            <w:r w:rsidRPr="00700D4B">
              <w:rPr>
                <w:rFonts w:eastAsia="Times New Roman"/>
                <w:sz w:val="20"/>
              </w:rPr>
              <w:t>High incidence of side effects</w:t>
            </w:r>
          </w:p>
          <w:p w14:paraId="64E5620E" w14:textId="77777777" w:rsidR="00700D4B" w:rsidRPr="00700D4B" w:rsidRDefault="00700D4B" w:rsidP="00AC1DA8">
            <w:pPr>
              <w:rPr>
                <w:rFonts w:eastAsia="Times New Roman"/>
                <w:sz w:val="20"/>
              </w:rPr>
            </w:pPr>
            <w:r w:rsidRPr="00700D4B">
              <w:rPr>
                <w:rFonts w:eastAsia="Times New Roman"/>
                <w:sz w:val="20"/>
              </w:rPr>
              <w:t>Similar action to Naproxen</w:t>
            </w:r>
          </w:p>
          <w:p w14:paraId="4EEFA042" w14:textId="77777777" w:rsidR="00700D4B" w:rsidRPr="00700D4B" w:rsidRDefault="00700D4B" w:rsidP="00AC1DA8">
            <w:pPr>
              <w:rPr>
                <w:rFonts w:eastAsia="Times New Roman"/>
                <w:sz w:val="20"/>
              </w:rPr>
            </w:pPr>
            <w:r w:rsidRPr="00700D4B">
              <w:rPr>
                <w:rFonts w:eastAsia="Times New Roman"/>
                <w:sz w:val="20"/>
              </w:rPr>
              <w:t>Rarely used in children</w:t>
            </w:r>
          </w:p>
          <w:p w14:paraId="59E3D067" w14:textId="77777777" w:rsidR="00700D4B" w:rsidRPr="00700D4B" w:rsidRDefault="00700D4B" w:rsidP="00AC1DA8">
            <w:pPr>
              <w:tabs>
                <w:tab w:val="left" w:pos="340"/>
              </w:tabs>
              <w:rPr>
                <w:rFonts w:eastAsia="Times New Roman"/>
              </w:rPr>
            </w:pPr>
          </w:p>
        </w:tc>
      </w:tr>
      <w:tr w:rsidR="00700D4B" w:rsidRPr="00700D4B" w14:paraId="6966E597" w14:textId="77777777" w:rsidTr="00AC1DA8">
        <w:tc>
          <w:tcPr>
            <w:tcW w:w="1764" w:type="dxa"/>
            <w:shd w:val="clear" w:color="auto" w:fill="FDE9D9" w:themeFill="accent6" w:themeFillTint="33"/>
          </w:tcPr>
          <w:p w14:paraId="1D33F88C" w14:textId="77777777" w:rsidR="00700D4B" w:rsidRPr="00700D4B" w:rsidRDefault="00700D4B" w:rsidP="00AC1DA8">
            <w:pPr>
              <w:rPr>
                <w:rFonts w:eastAsia="Times New Roman"/>
                <w:b/>
                <w:sz w:val="20"/>
              </w:rPr>
            </w:pPr>
            <w:r w:rsidRPr="00700D4B">
              <w:rPr>
                <w:rFonts w:eastAsia="Times New Roman"/>
                <w:b/>
                <w:sz w:val="20"/>
              </w:rPr>
              <w:t>Meloxicam</w:t>
            </w:r>
          </w:p>
          <w:p w14:paraId="6DD2C462" w14:textId="77777777" w:rsidR="00700D4B" w:rsidRPr="00700D4B" w:rsidRDefault="00700D4B" w:rsidP="00AC1DA8">
            <w:pPr>
              <w:tabs>
                <w:tab w:val="left" w:pos="340"/>
              </w:tabs>
              <w:rPr>
                <w:rFonts w:eastAsia="Times New Roman"/>
              </w:rPr>
            </w:pPr>
          </w:p>
        </w:tc>
        <w:tc>
          <w:tcPr>
            <w:tcW w:w="1151" w:type="dxa"/>
            <w:shd w:val="clear" w:color="auto" w:fill="FDE9D9" w:themeFill="accent6" w:themeFillTint="33"/>
          </w:tcPr>
          <w:p w14:paraId="49C4E647" w14:textId="77777777" w:rsidR="00700D4B" w:rsidRPr="00700D4B" w:rsidRDefault="00700D4B" w:rsidP="00AC1DA8">
            <w:pPr>
              <w:rPr>
                <w:rFonts w:eastAsia="Times New Roman"/>
                <w:sz w:val="20"/>
              </w:rPr>
            </w:pPr>
            <w:r w:rsidRPr="00700D4B">
              <w:rPr>
                <w:rFonts w:eastAsia="Times New Roman"/>
                <w:sz w:val="20"/>
              </w:rPr>
              <w:t xml:space="preserve">&gt;12 </w:t>
            </w:r>
            <w:proofErr w:type="spellStart"/>
            <w:r w:rsidRPr="00700D4B">
              <w:rPr>
                <w:rFonts w:eastAsia="Times New Roman"/>
                <w:sz w:val="20"/>
              </w:rPr>
              <w:t>yrs</w:t>
            </w:r>
            <w:proofErr w:type="spellEnd"/>
          </w:p>
          <w:p w14:paraId="21C3033E" w14:textId="77777777" w:rsidR="00700D4B" w:rsidRPr="00700D4B" w:rsidRDefault="00700D4B" w:rsidP="00AC1DA8">
            <w:pPr>
              <w:tabs>
                <w:tab w:val="left" w:pos="340"/>
              </w:tabs>
              <w:rPr>
                <w:rFonts w:eastAsia="Times New Roman"/>
              </w:rPr>
            </w:pPr>
          </w:p>
        </w:tc>
        <w:tc>
          <w:tcPr>
            <w:tcW w:w="1843" w:type="dxa"/>
            <w:shd w:val="clear" w:color="auto" w:fill="FDE9D9" w:themeFill="accent6" w:themeFillTint="33"/>
          </w:tcPr>
          <w:p w14:paraId="51602602" w14:textId="77777777" w:rsidR="00700D4B" w:rsidRPr="00700D4B" w:rsidRDefault="00700D4B" w:rsidP="00AC1DA8">
            <w:pPr>
              <w:rPr>
                <w:rFonts w:eastAsia="Times New Roman"/>
                <w:sz w:val="20"/>
              </w:rPr>
            </w:pPr>
            <w:r w:rsidRPr="00700D4B">
              <w:rPr>
                <w:rFonts w:eastAsia="Times New Roman"/>
                <w:sz w:val="20"/>
              </w:rPr>
              <w:t>&lt;50kg: 7.5mg</w:t>
            </w:r>
          </w:p>
          <w:p w14:paraId="709EF550" w14:textId="77777777" w:rsidR="00700D4B" w:rsidRPr="00700D4B" w:rsidRDefault="00700D4B" w:rsidP="00AC1DA8">
            <w:pPr>
              <w:rPr>
                <w:rFonts w:eastAsia="Times New Roman"/>
                <w:sz w:val="20"/>
              </w:rPr>
            </w:pPr>
            <w:r w:rsidRPr="00700D4B">
              <w:rPr>
                <w:rFonts w:eastAsia="Times New Roman"/>
                <w:sz w:val="20"/>
              </w:rPr>
              <w:t>50kg and over: 15mg</w:t>
            </w:r>
          </w:p>
          <w:p w14:paraId="1D35EF0F" w14:textId="77777777" w:rsidR="00700D4B" w:rsidRPr="00700D4B" w:rsidRDefault="00700D4B" w:rsidP="00AC1DA8">
            <w:pPr>
              <w:rPr>
                <w:rFonts w:eastAsia="Times New Roman"/>
                <w:sz w:val="20"/>
              </w:rPr>
            </w:pPr>
            <w:r w:rsidRPr="00700D4B">
              <w:rPr>
                <w:rFonts w:eastAsia="Times New Roman"/>
                <w:sz w:val="20"/>
              </w:rPr>
              <w:t>Once a day</w:t>
            </w:r>
          </w:p>
          <w:p w14:paraId="3920C2A1" w14:textId="77777777" w:rsidR="00700D4B" w:rsidRPr="00700D4B" w:rsidRDefault="00700D4B" w:rsidP="00AC1DA8">
            <w:pPr>
              <w:tabs>
                <w:tab w:val="left" w:pos="340"/>
              </w:tabs>
              <w:rPr>
                <w:rFonts w:eastAsia="Times New Roman"/>
              </w:rPr>
            </w:pPr>
          </w:p>
        </w:tc>
        <w:tc>
          <w:tcPr>
            <w:tcW w:w="1984" w:type="dxa"/>
            <w:shd w:val="clear" w:color="auto" w:fill="FDE9D9" w:themeFill="accent6" w:themeFillTint="33"/>
          </w:tcPr>
          <w:p w14:paraId="38D76C76" w14:textId="77777777" w:rsidR="00700D4B" w:rsidRPr="00700D4B" w:rsidRDefault="00700D4B" w:rsidP="00AC1DA8">
            <w:pPr>
              <w:rPr>
                <w:rFonts w:eastAsia="Times New Roman"/>
                <w:sz w:val="20"/>
              </w:rPr>
            </w:pPr>
            <w:r w:rsidRPr="00700D4B">
              <w:rPr>
                <w:rFonts w:eastAsia="Times New Roman"/>
                <w:sz w:val="20"/>
              </w:rPr>
              <w:t>7.5 mg and 15mg Tablets and dispersible tablets</w:t>
            </w:r>
          </w:p>
          <w:p w14:paraId="3B68B9C4" w14:textId="77777777" w:rsidR="00700D4B" w:rsidRPr="00700D4B" w:rsidRDefault="00700D4B" w:rsidP="00AC1DA8">
            <w:pPr>
              <w:tabs>
                <w:tab w:val="left" w:pos="340"/>
              </w:tabs>
              <w:rPr>
                <w:rFonts w:eastAsia="Times New Roman"/>
              </w:rPr>
            </w:pPr>
          </w:p>
        </w:tc>
        <w:tc>
          <w:tcPr>
            <w:tcW w:w="2268" w:type="dxa"/>
            <w:shd w:val="clear" w:color="auto" w:fill="FDE9D9" w:themeFill="accent6" w:themeFillTint="33"/>
          </w:tcPr>
          <w:p w14:paraId="3BAB784F" w14:textId="77777777" w:rsidR="00700D4B" w:rsidRPr="00700D4B" w:rsidRDefault="00700D4B" w:rsidP="00AC1DA8">
            <w:pPr>
              <w:rPr>
                <w:rFonts w:eastAsia="Calibri"/>
                <w:sz w:val="20"/>
              </w:rPr>
            </w:pPr>
            <w:r w:rsidRPr="00700D4B">
              <w:rPr>
                <w:rFonts w:eastAsia="Calibri"/>
                <w:sz w:val="20"/>
              </w:rPr>
              <w:t xml:space="preserve">consider in adolescents intolerant to other </w:t>
            </w:r>
            <w:proofErr w:type="gramStart"/>
            <w:r w:rsidRPr="00700D4B">
              <w:rPr>
                <w:rFonts w:eastAsia="Calibri"/>
                <w:sz w:val="20"/>
              </w:rPr>
              <w:t>NSAIDS</w:t>
            </w:r>
            <w:proofErr w:type="gramEnd"/>
          </w:p>
          <w:p w14:paraId="3C333BF3" w14:textId="77777777" w:rsidR="00700D4B" w:rsidRPr="00700D4B" w:rsidRDefault="00700D4B" w:rsidP="00AC1DA8">
            <w:pPr>
              <w:rPr>
                <w:rFonts w:eastAsia="Calibri"/>
                <w:sz w:val="20"/>
              </w:rPr>
            </w:pPr>
            <w:r w:rsidRPr="00700D4B">
              <w:rPr>
                <w:rFonts w:eastAsia="Calibri"/>
                <w:sz w:val="20"/>
              </w:rPr>
              <w:t>Selective COX-2 inhibitor</w:t>
            </w:r>
          </w:p>
          <w:p w14:paraId="148FBD89" w14:textId="77777777" w:rsidR="00700D4B" w:rsidRPr="00700D4B" w:rsidRDefault="00700D4B" w:rsidP="00AC1DA8">
            <w:pPr>
              <w:tabs>
                <w:tab w:val="left" w:pos="340"/>
              </w:tabs>
              <w:rPr>
                <w:rFonts w:eastAsia="Times New Roman"/>
              </w:rPr>
            </w:pPr>
          </w:p>
        </w:tc>
      </w:tr>
      <w:tr w:rsidR="00700D4B" w:rsidRPr="00700D4B" w14:paraId="143AC401" w14:textId="77777777" w:rsidTr="00AC1DA8">
        <w:tc>
          <w:tcPr>
            <w:tcW w:w="1764" w:type="dxa"/>
            <w:shd w:val="clear" w:color="auto" w:fill="B8CCE4" w:themeFill="accent1" w:themeFillTint="66"/>
          </w:tcPr>
          <w:p w14:paraId="2B82D43B" w14:textId="77777777" w:rsidR="00700D4B" w:rsidRPr="00700D4B" w:rsidRDefault="00700D4B" w:rsidP="00AC1DA8">
            <w:pPr>
              <w:rPr>
                <w:rFonts w:eastAsia="Times New Roman"/>
                <w:b/>
                <w:sz w:val="20"/>
              </w:rPr>
            </w:pPr>
            <w:r w:rsidRPr="00700D4B">
              <w:rPr>
                <w:rFonts w:eastAsia="Times New Roman"/>
                <w:b/>
                <w:sz w:val="20"/>
              </w:rPr>
              <w:t>Diclofenac potassium</w:t>
            </w:r>
          </w:p>
          <w:p w14:paraId="5514B75F" w14:textId="77777777" w:rsidR="00700D4B" w:rsidRPr="00700D4B" w:rsidRDefault="00700D4B" w:rsidP="00AC1DA8">
            <w:pPr>
              <w:tabs>
                <w:tab w:val="left" w:pos="340"/>
              </w:tabs>
              <w:rPr>
                <w:rFonts w:eastAsia="Times New Roman"/>
              </w:rPr>
            </w:pPr>
          </w:p>
        </w:tc>
        <w:tc>
          <w:tcPr>
            <w:tcW w:w="1151" w:type="dxa"/>
            <w:shd w:val="clear" w:color="auto" w:fill="B8CCE4" w:themeFill="accent1" w:themeFillTint="66"/>
          </w:tcPr>
          <w:p w14:paraId="16CB8C7C" w14:textId="77777777" w:rsidR="00700D4B" w:rsidRPr="00700D4B" w:rsidRDefault="00700D4B" w:rsidP="00AC1DA8">
            <w:pPr>
              <w:tabs>
                <w:tab w:val="left" w:pos="340"/>
              </w:tabs>
              <w:rPr>
                <w:rFonts w:eastAsia="Times New Roman"/>
              </w:rPr>
            </w:pPr>
            <w:r w:rsidRPr="00700D4B">
              <w:rPr>
                <w:rFonts w:eastAsia="Times New Roman"/>
                <w:sz w:val="20"/>
              </w:rPr>
              <w:t>&gt;6 months</w:t>
            </w:r>
          </w:p>
        </w:tc>
        <w:tc>
          <w:tcPr>
            <w:tcW w:w="1843" w:type="dxa"/>
            <w:shd w:val="clear" w:color="auto" w:fill="B8CCE4" w:themeFill="accent1" w:themeFillTint="66"/>
          </w:tcPr>
          <w:p w14:paraId="19D923C7" w14:textId="77777777" w:rsidR="00700D4B" w:rsidRPr="00700D4B" w:rsidRDefault="00700D4B" w:rsidP="00AC1DA8">
            <w:pPr>
              <w:rPr>
                <w:rFonts w:eastAsia="Times New Roman"/>
                <w:sz w:val="20"/>
              </w:rPr>
            </w:pPr>
            <w:r w:rsidRPr="00700D4B">
              <w:rPr>
                <w:rFonts w:eastAsia="Times New Roman"/>
                <w:sz w:val="20"/>
              </w:rPr>
              <w:t>75-100mg daily in</w:t>
            </w:r>
          </w:p>
          <w:p w14:paraId="3A3E3BA5" w14:textId="77777777" w:rsidR="00700D4B" w:rsidRPr="00700D4B" w:rsidRDefault="00700D4B" w:rsidP="00AC1DA8">
            <w:pPr>
              <w:rPr>
                <w:rFonts w:eastAsia="Times New Roman"/>
                <w:sz w:val="20"/>
              </w:rPr>
            </w:pPr>
            <w:r w:rsidRPr="00700D4B">
              <w:rPr>
                <w:rFonts w:eastAsia="Times New Roman"/>
                <w:sz w:val="20"/>
              </w:rPr>
              <w:t xml:space="preserve">2-3 divided doses </w:t>
            </w:r>
          </w:p>
          <w:p w14:paraId="0083052F" w14:textId="77777777" w:rsidR="00700D4B" w:rsidRPr="00700D4B" w:rsidRDefault="00700D4B" w:rsidP="00AC1DA8">
            <w:pPr>
              <w:tabs>
                <w:tab w:val="left" w:pos="340"/>
              </w:tabs>
              <w:rPr>
                <w:rFonts w:eastAsia="Times New Roman"/>
              </w:rPr>
            </w:pPr>
          </w:p>
        </w:tc>
        <w:tc>
          <w:tcPr>
            <w:tcW w:w="1984" w:type="dxa"/>
            <w:shd w:val="clear" w:color="auto" w:fill="B8CCE4" w:themeFill="accent1" w:themeFillTint="66"/>
          </w:tcPr>
          <w:p w14:paraId="3D6A8031" w14:textId="77777777" w:rsidR="00700D4B" w:rsidRPr="00700D4B" w:rsidRDefault="00700D4B" w:rsidP="00AC1DA8">
            <w:pPr>
              <w:rPr>
                <w:sz w:val="20"/>
                <w:szCs w:val="20"/>
              </w:rPr>
            </w:pPr>
            <w:r w:rsidRPr="00700D4B">
              <w:rPr>
                <w:sz w:val="20"/>
                <w:szCs w:val="20"/>
              </w:rPr>
              <w:t>25mg and 50mg Tablets</w:t>
            </w:r>
          </w:p>
          <w:p w14:paraId="39C4A068" w14:textId="77777777" w:rsidR="00700D4B" w:rsidRPr="00700D4B" w:rsidRDefault="00700D4B" w:rsidP="00AC1DA8">
            <w:pPr>
              <w:tabs>
                <w:tab w:val="left" w:pos="340"/>
              </w:tabs>
              <w:rPr>
                <w:rFonts w:eastAsia="Times New Roman"/>
              </w:rPr>
            </w:pPr>
          </w:p>
        </w:tc>
        <w:tc>
          <w:tcPr>
            <w:tcW w:w="2268" w:type="dxa"/>
            <w:shd w:val="clear" w:color="auto" w:fill="B8CCE4" w:themeFill="accent1" w:themeFillTint="66"/>
          </w:tcPr>
          <w:p w14:paraId="474A9B75" w14:textId="77777777" w:rsidR="00700D4B" w:rsidRPr="00700D4B" w:rsidRDefault="00700D4B" w:rsidP="00AC1DA8">
            <w:pPr>
              <w:tabs>
                <w:tab w:val="left" w:pos="340"/>
              </w:tabs>
              <w:rPr>
                <w:rFonts w:eastAsia="Times New Roman"/>
              </w:rPr>
            </w:pPr>
          </w:p>
        </w:tc>
      </w:tr>
      <w:tr w:rsidR="00700D4B" w:rsidRPr="00700D4B" w14:paraId="2E8FD02C" w14:textId="77777777" w:rsidTr="00AC1DA8">
        <w:tc>
          <w:tcPr>
            <w:tcW w:w="1764" w:type="dxa"/>
            <w:shd w:val="clear" w:color="auto" w:fill="F2DBDB" w:themeFill="accent2" w:themeFillTint="33"/>
          </w:tcPr>
          <w:p w14:paraId="2D7E0E71" w14:textId="77777777" w:rsidR="00700D4B" w:rsidRPr="00700D4B" w:rsidRDefault="00700D4B" w:rsidP="00AC1DA8">
            <w:pPr>
              <w:rPr>
                <w:rFonts w:eastAsia="Times New Roman"/>
                <w:b/>
                <w:sz w:val="20"/>
              </w:rPr>
            </w:pPr>
            <w:r w:rsidRPr="00700D4B">
              <w:rPr>
                <w:rFonts w:eastAsia="Times New Roman"/>
                <w:b/>
                <w:sz w:val="20"/>
              </w:rPr>
              <w:t>Flurbiprofen</w:t>
            </w:r>
          </w:p>
          <w:p w14:paraId="57FCC1BE" w14:textId="77777777" w:rsidR="00700D4B" w:rsidRPr="00700D4B" w:rsidRDefault="00700D4B" w:rsidP="00AC1DA8">
            <w:pPr>
              <w:tabs>
                <w:tab w:val="left" w:pos="340"/>
              </w:tabs>
              <w:rPr>
                <w:rFonts w:eastAsia="Times New Roman"/>
              </w:rPr>
            </w:pPr>
          </w:p>
        </w:tc>
        <w:tc>
          <w:tcPr>
            <w:tcW w:w="1151" w:type="dxa"/>
            <w:shd w:val="clear" w:color="auto" w:fill="F2DBDB" w:themeFill="accent2" w:themeFillTint="33"/>
          </w:tcPr>
          <w:p w14:paraId="16A174D0" w14:textId="77777777" w:rsidR="00700D4B" w:rsidRPr="00700D4B" w:rsidRDefault="00700D4B" w:rsidP="00AC1DA8">
            <w:pPr>
              <w:tabs>
                <w:tab w:val="left" w:pos="340"/>
              </w:tabs>
              <w:rPr>
                <w:rFonts w:eastAsia="Times New Roman"/>
              </w:rPr>
            </w:pPr>
            <w:r w:rsidRPr="00700D4B">
              <w:rPr>
                <w:rFonts w:eastAsia="Times New Roman"/>
                <w:sz w:val="20"/>
              </w:rPr>
              <w:t xml:space="preserve">&gt;12 </w:t>
            </w:r>
            <w:proofErr w:type="spellStart"/>
            <w:r w:rsidRPr="00700D4B">
              <w:rPr>
                <w:rFonts w:eastAsia="Times New Roman"/>
                <w:sz w:val="20"/>
              </w:rPr>
              <w:t>yrs</w:t>
            </w:r>
            <w:proofErr w:type="spellEnd"/>
          </w:p>
        </w:tc>
        <w:tc>
          <w:tcPr>
            <w:tcW w:w="1843" w:type="dxa"/>
            <w:shd w:val="clear" w:color="auto" w:fill="F2DBDB" w:themeFill="accent2" w:themeFillTint="33"/>
          </w:tcPr>
          <w:p w14:paraId="4B0AFA6C" w14:textId="77777777" w:rsidR="00700D4B" w:rsidRPr="00700D4B" w:rsidRDefault="00700D4B" w:rsidP="00AC1DA8">
            <w:pPr>
              <w:rPr>
                <w:rFonts w:eastAsia="Times New Roman"/>
                <w:sz w:val="20"/>
              </w:rPr>
            </w:pPr>
            <w:r w:rsidRPr="00700D4B">
              <w:rPr>
                <w:rFonts w:eastAsia="Times New Roman"/>
                <w:sz w:val="20"/>
              </w:rPr>
              <w:t>150-200mg daily in</w:t>
            </w:r>
          </w:p>
          <w:p w14:paraId="7F35D72C" w14:textId="77777777" w:rsidR="00700D4B" w:rsidRPr="00700D4B" w:rsidRDefault="00700D4B" w:rsidP="00AC1DA8">
            <w:pPr>
              <w:tabs>
                <w:tab w:val="left" w:pos="340"/>
              </w:tabs>
              <w:rPr>
                <w:rFonts w:eastAsia="Times New Roman"/>
              </w:rPr>
            </w:pPr>
            <w:r w:rsidRPr="00700D4B">
              <w:rPr>
                <w:rFonts w:eastAsia="Times New Roman"/>
                <w:sz w:val="20"/>
              </w:rPr>
              <w:t>2-4 divided doses then increase to 300mg daily</w:t>
            </w:r>
          </w:p>
        </w:tc>
        <w:tc>
          <w:tcPr>
            <w:tcW w:w="1984" w:type="dxa"/>
            <w:shd w:val="clear" w:color="auto" w:fill="F2DBDB" w:themeFill="accent2" w:themeFillTint="33"/>
          </w:tcPr>
          <w:p w14:paraId="4F8CC04C" w14:textId="77777777" w:rsidR="00700D4B" w:rsidRPr="00700D4B" w:rsidRDefault="00700D4B" w:rsidP="00AC1DA8">
            <w:pPr>
              <w:tabs>
                <w:tab w:val="left" w:pos="340"/>
              </w:tabs>
              <w:rPr>
                <w:rFonts w:eastAsia="Times New Roman"/>
              </w:rPr>
            </w:pPr>
            <w:r w:rsidRPr="00700D4B">
              <w:rPr>
                <w:sz w:val="20"/>
                <w:szCs w:val="20"/>
              </w:rPr>
              <w:t>50mg and 100mg Tablets only</w:t>
            </w:r>
          </w:p>
        </w:tc>
        <w:tc>
          <w:tcPr>
            <w:tcW w:w="2268" w:type="dxa"/>
            <w:shd w:val="clear" w:color="auto" w:fill="F2DBDB" w:themeFill="accent2" w:themeFillTint="33"/>
          </w:tcPr>
          <w:p w14:paraId="65BA13A0" w14:textId="77777777" w:rsidR="00700D4B" w:rsidRPr="00700D4B" w:rsidRDefault="00700D4B" w:rsidP="00AC1DA8">
            <w:pPr>
              <w:tabs>
                <w:tab w:val="left" w:pos="340"/>
              </w:tabs>
              <w:rPr>
                <w:rFonts w:eastAsia="Times New Roman"/>
              </w:rPr>
            </w:pPr>
          </w:p>
        </w:tc>
      </w:tr>
    </w:tbl>
    <w:p w14:paraId="5E31E2CD" w14:textId="77777777" w:rsidR="00700D4B" w:rsidRPr="00700D4B" w:rsidRDefault="00700D4B" w:rsidP="00700D4B">
      <w:pPr>
        <w:tabs>
          <w:tab w:val="left" w:pos="340"/>
        </w:tabs>
        <w:ind w:left="199"/>
        <w:rPr>
          <w:rFonts w:eastAsia="Times New Roman"/>
        </w:rPr>
      </w:pPr>
    </w:p>
    <w:p w14:paraId="3AD6C2DE" w14:textId="77777777" w:rsidR="00700D4B" w:rsidRPr="00700D4B" w:rsidRDefault="00700D4B" w:rsidP="00700D4B">
      <w:pPr>
        <w:tabs>
          <w:tab w:val="left" w:pos="340"/>
        </w:tabs>
        <w:ind w:left="199"/>
        <w:rPr>
          <w:rFonts w:eastAsia="Times New Roman"/>
        </w:rPr>
      </w:pPr>
    </w:p>
    <w:p w14:paraId="5BFE83CE" w14:textId="77777777" w:rsidR="00700D4B" w:rsidRPr="00700D4B" w:rsidRDefault="00700D4B" w:rsidP="00700D4B">
      <w:pPr>
        <w:rPr>
          <w:rFonts w:eastAsia="Times New Roman"/>
          <w:sz w:val="16"/>
        </w:rPr>
      </w:pPr>
    </w:p>
    <w:p w14:paraId="4E1368C7" w14:textId="77777777" w:rsidR="00700D4B" w:rsidRPr="00700D4B" w:rsidRDefault="00700D4B" w:rsidP="00700D4B">
      <w:pPr>
        <w:rPr>
          <w:rFonts w:eastAsia="GillHandbook Roman"/>
          <w:color w:val="000000"/>
        </w:rPr>
      </w:pPr>
    </w:p>
    <w:p w14:paraId="59A76632" w14:textId="77777777" w:rsidR="00700D4B" w:rsidRPr="00700D4B" w:rsidRDefault="00700D4B" w:rsidP="00700D4B">
      <w:pPr>
        <w:rPr>
          <w:rFonts w:eastAsia="GillHandbook Roman"/>
          <w:color w:val="000000"/>
        </w:rPr>
      </w:pPr>
    </w:p>
    <w:p w14:paraId="06086615" w14:textId="77777777" w:rsidR="00700D4B" w:rsidRPr="00700D4B" w:rsidRDefault="00700D4B" w:rsidP="00700D4B">
      <w:pPr>
        <w:rPr>
          <w:rFonts w:eastAsia="GillHandbook Roman"/>
          <w:b/>
          <w:color w:val="000000"/>
        </w:rPr>
      </w:pPr>
    </w:p>
    <w:p w14:paraId="0B40E5E9" w14:textId="77777777" w:rsidR="00700D4B" w:rsidRPr="00700D4B" w:rsidRDefault="00700D4B" w:rsidP="00700D4B">
      <w:pPr>
        <w:rPr>
          <w:rFonts w:eastAsia="GillHandbook Roman"/>
          <w:b/>
          <w:color w:val="000000"/>
        </w:rPr>
      </w:pPr>
      <w:r w:rsidRPr="00700D4B">
        <w:rPr>
          <w:rFonts w:eastAsia="GillHandbook Roman"/>
          <w:b/>
          <w:color w:val="000000"/>
        </w:rPr>
        <w:t xml:space="preserve">References: </w:t>
      </w:r>
    </w:p>
    <w:p w14:paraId="53C0CA8C" w14:textId="77777777" w:rsidR="00700D4B" w:rsidRPr="00700D4B" w:rsidRDefault="00700D4B" w:rsidP="00700D4B">
      <w:pPr>
        <w:ind w:left="720" w:hanging="720"/>
        <w:rPr>
          <w:rFonts w:eastAsia="GillHandbook Roman"/>
          <w:color w:val="000000"/>
        </w:rPr>
      </w:pPr>
      <w:r w:rsidRPr="00700D4B">
        <w:rPr>
          <w:rFonts w:eastAsia="GillHandbook Roman"/>
          <w:color w:val="000000"/>
        </w:rPr>
        <w:t>1.</w:t>
      </w:r>
      <w:r w:rsidRPr="00700D4B">
        <w:rPr>
          <w:rFonts w:eastAsia="GillHandbook Roman"/>
          <w:color w:val="000000"/>
        </w:rPr>
        <w:tab/>
        <w:t xml:space="preserve">Kelly A, Ramanan AV. The principles of pharmacological treatment of juvenile idiopathic arthritis. </w:t>
      </w:r>
      <w:r w:rsidRPr="00700D4B">
        <w:rPr>
          <w:rFonts w:eastAsia="GillHandbook Roman"/>
          <w:i/>
          <w:color w:val="000000"/>
        </w:rPr>
        <w:t>Paediatrics and Child Health</w:t>
      </w:r>
      <w:r w:rsidRPr="00700D4B">
        <w:rPr>
          <w:rFonts w:eastAsia="GillHandbook Roman"/>
          <w:color w:val="000000"/>
        </w:rPr>
        <w:t xml:space="preserve"> 2011; 563-568</w:t>
      </w:r>
    </w:p>
    <w:p w14:paraId="262751D3" w14:textId="77777777" w:rsidR="00700D4B" w:rsidRPr="00700D4B" w:rsidRDefault="00700D4B" w:rsidP="00700D4B">
      <w:pPr>
        <w:rPr>
          <w:rFonts w:eastAsia="GillHandbook Roman"/>
          <w:color w:val="000000"/>
        </w:rPr>
      </w:pPr>
      <w:r w:rsidRPr="00700D4B">
        <w:rPr>
          <w:rFonts w:eastAsia="GillHandbook Roman"/>
          <w:color w:val="000000"/>
        </w:rPr>
        <w:t>2.</w:t>
      </w:r>
      <w:r w:rsidRPr="00700D4B">
        <w:rPr>
          <w:rFonts w:eastAsia="GillHandbook Roman"/>
          <w:color w:val="000000"/>
        </w:rPr>
        <w:tab/>
        <w:t xml:space="preserve">British National Formulary for Children.  </w:t>
      </w:r>
      <w:proofErr w:type="gramStart"/>
      <w:r w:rsidRPr="00700D4B">
        <w:rPr>
          <w:rFonts w:eastAsia="GillHandbook Roman"/>
          <w:color w:val="000000"/>
        </w:rPr>
        <w:t>UK:BMJ</w:t>
      </w:r>
      <w:proofErr w:type="gramEnd"/>
      <w:r w:rsidRPr="00700D4B">
        <w:rPr>
          <w:rFonts w:eastAsia="GillHandbook Roman"/>
          <w:color w:val="000000"/>
        </w:rPr>
        <w:t xml:space="preserve"> publishing group; 2022</w:t>
      </w:r>
    </w:p>
    <w:p w14:paraId="4D7AD3E2" w14:textId="77777777" w:rsidR="00700D4B" w:rsidRPr="00700D4B" w:rsidRDefault="00700D4B" w:rsidP="00700D4B">
      <w:pPr>
        <w:rPr>
          <w:rFonts w:eastAsia="Times New Roman"/>
        </w:rPr>
      </w:pPr>
      <w:r w:rsidRPr="00700D4B">
        <w:rPr>
          <w:rFonts w:eastAsia="Times New Roman"/>
        </w:rPr>
        <w:t xml:space="preserve">3.  </w:t>
      </w:r>
      <w:r w:rsidRPr="00700D4B">
        <w:rPr>
          <w:rFonts w:eastAsia="Times New Roman"/>
        </w:rPr>
        <w:tab/>
        <w:t>Oxford Handbook of Paediatric Rheumatology.  Oxford University press; 2012</w:t>
      </w:r>
    </w:p>
    <w:p w14:paraId="7C1F62D5" w14:textId="77777777" w:rsidR="00700D4B" w:rsidRPr="00700D4B" w:rsidRDefault="00700D4B" w:rsidP="00700D4B">
      <w:pPr>
        <w:autoSpaceDE w:val="0"/>
        <w:autoSpaceDN w:val="0"/>
        <w:adjustRightInd w:val="0"/>
        <w:rPr>
          <w:color w:val="231F20"/>
        </w:rPr>
      </w:pPr>
      <w:r w:rsidRPr="00700D4B">
        <w:rPr>
          <w:rFonts w:eastAsia="Times New Roman"/>
        </w:rPr>
        <w:t xml:space="preserve">4. </w:t>
      </w:r>
      <w:r w:rsidRPr="00700D4B">
        <w:rPr>
          <w:rFonts w:eastAsia="Times New Roman"/>
        </w:rPr>
        <w:tab/>
      </w:r>
      <w:proofErr w:type="spellStart"/>
      <w:r w:rsidRPr="00700D4B">
        <w:rPr>
          <w:rFonts w:eastAsia="Times New Roman"/>
        </w:rPr>
        <w:t>Ruperto</w:t>
      </w:r>
      <w:proofErr w:type="spellEnd"/>
      <w:r w:rsidRPr="00700D4B">
        <w:rPr>
          <w:rFonts w:eastAsia="Times New Roman"/>
        </w:rPr>
        <w:t xml:space="preserve"> et al. </w:t>
      </w:r>
      <w:r w:rsidRPr="00700D4B">
        <w:rPr>
          <w:color w:val="231F20"/>
        </w:rPr>
        <w:t>A Randomized, Double-Blind Clinical Trial of Two Doses of</w:t>
      </w:r>
    </w:p>
    <w:p w14:paraId="5B1F8E7F" w14:textId="77777777" w:rsidR="00700D4B" w:rsidRPr="00700D4B" w:rsidRDefault="00700D4B" w:rsidP="00700D4B">
      <w:pPr>
        <w:autoSpaceDE w:val="0"/>
        <w:autoSpaceDN w:val="0"/>
        <w:adjustRightInd w:val="0"/>
        <w:ind w:left="720"/>
        <w:rPr>
          <w:color w:val="231F20"/>
        </w:rPr>
      </w:pPr>
      <w:r w:rsidRPr="00700D4B">
        <w:rPr>
          <w:color w:val="231F20"/>
        </w:rPr>
        <w:t xml:space="preserve">Meloxicam Compared </w:t>
      </w:r>
      <w:proofErr w:type="gramStart"/>
      <w:r w:rsidRPr="00700D4B">
        <w:rPr>
          <w:color w:val="231F20"/>
        </w:rPr>
        <w:t>With</w:t>
      </w:r>
      <w:proofErr w:type="gramEnd"/>
      <w:r w:rsidRPr="00700D4B">
        <w:rPr>
          <w:color w:val="231F20"/>
        </w:rPr>
        <w:t xml:space="preserve"> Naproxen in Children With Juvenile Idiopathic Arthritis. </w:t>
      </w:r>
      <w:r w:rsidRPr="00700D4B">
        <w:rPr>
          <w:i/>
          <w:color w:val="231F20"/>
        </w:rPr>
        <w:t>Arthritis &amp; Rheumatism</w:t>
      </w:r>
      <w:r w:rsidRPr="00700D4B">
        <w:rPr>
          <w:color w:val="231F20"/>
        </w:rPr>
        <w:t>. Vol. 52, No. 2, February 2005, pp 563–572</w:t>
      </w:r>
    </w:p>
    <w:p w14:paraId="64AA878F" w14:textId="77777777" w:rsidR="00700D4B" w:rsidRPr="00700D4B" w:rsidRDefault="00700D4B" w:rsidP="00700D4B">
      <w:pPr>
        <w:autoSpaceDE w:val="0"/>
        <w:autoSpaceDN w:val="0"/>
        <w:adjustRightInd w:val="0"/>
        <w:ind w:firstLine="720"/>
        <w:rPr>
          <w:rFonts w:eastAsia="Times New Roman"/>
        </w:rPr>
      </w:pPr>
      <w:r w:rsidRPr="00700D4B">
        <w:rPr>
          <w:color w:val="231F20"/>
        </w:rPr>
        <w:t>DOI 10.1002/art.20860</w:t>
      </w:r>
    </w:p>
    <w:p w14:paraId="7D1F6897" w14:textId="77777777" w:rsidR="00700D4B" w:rsidRPr="00700D4B" w:rsidRDefault="00700D4B" w:rsidP="00700D4B">
      <w:pPr>
        <w:rPr>
          <w:rFonts w:eastAsia="GillHandbook Roman"/>
          <w:color w:val="000000"/>
        </w:rPr>
      </w:pPr>
    </w:p>
    <w:p w14:paraId="38FC5B6C" w14:textId="77777777" w:rsidR="00700D4B" w:rsidRPr="00700D4B" w:rsidRDefault="00700D4B" w:rsidP="00700D4B">
      <w:pPr>
        <w:rPr>
          <w:rFonts w:eastAsia="GillHandbook Roman"/>
          <w:color w:val="000000"/>
        </w:rPr>
      </w:pPr>
    </w:p>
    <w:p w14:paraId="444C0DBC" w14:textId="77777777" w:rsidR="00700D4B" w:rsidRPr="00700D4B" w:rsidRDefault="00700D4B" w:rsidP="00700D4B">
      <w:pPr>
        <w:rPr>
          <w:rFonts w:eastAsia="GillHandbook Roman"/>
          <w:b/>
          <w:color w:val="000000"/>
        </w:rPr>
      </w:pPr>
      <w:r w:rsidRPr="00700D4B">
        <w:rPr>
          <w:rFonts w:eastAsia="GillHandbook Roman"/>
          <w:b/>
          <w:color w:val="000000"/>
        </w:rPr>
        <w:t>Authors:</w:t>
      </w:r>
    </w:p>
    <w:p w14:paraId="34B7B46C" w14:textId="77777777" w:rsidR="00700D4B" w:rsidRPr="00700D4B" w:rsidRDefault="00700D4B" w:rsidP="00700D4B">
      <w:pPr>
        <w:rPr>
          <w:rFonts w:eastAsia="GillHandbook Roman"/>
          <w:color w:val="000000"/>
        </w:rPr>
      </w:pPr>
      <w:r w:rsidRPr="00700D4B">
        <w:rPr>
          <w:rFonts w:eastAsia="GillHandbook Roman"/>
          <w:color w:val="000000"/>
        </w:rPr>
        <w:t>Sarveshni Naidoo, Consultant Paediatrician, NHS Lanarkshire</w:t>
      </w:r>
    </w:p>
    <w:p w14:paraId="069165E2" w14:textId="41EC2F68" w:rsidR="00700D4B" w:rsidRDefault="00700D4B" w:rsidP="00700D4B">
      <w:pPr>
        <w:rPr>
          <w:rFonts w:eastAsia="GillHandbook Roman"/>
          <w:color w:val="000000"/>
        </w:rPr>
      </w:pPr>
      <w:r w:rsidRPr="00700D4B">
        <w:rPr>
          <w:rFonts w:eastAsia="GillHandbook Roman"/>
          <w:color w:val="000000"/>
        </w:rPr>
        <w:t xml:space="preserve">Mairi Dunbar, Lead Pharmacist, Raigmore Hospital </w:t>
      </w:r>
    </w:p>
    <w:p w14:paraId="1CE39069" w14:textId="5FB11631" w:rsidR="00700D4B" w:rsidRPr="00700D4B" w:rsidRDefault="00700D4B" w:rsidP="00700D4B">
      <w:pPr>
        <w:rPr>
          <w:rFonts w:eastAsia="GillHandbook Roman"/>
          <w:color w:val="000000"/>
        </w:rPr>
      </w:pPr>
      <w:r>
        <w:rPr>
          <w:rFonts w:eastAsia="GillHandbook Roman"/>
          <w:color w:val="000000"/>
        </w:rPr>
        <w:t xml:space="preserve">SPARN </w:t>
      </w:r>
    </w:p>
    <w:p w14:paraId="12FE4FFE" w14:textId="77777777" w:rsidR="00700D4B" w:rsidRPr="00700D4B" w:rsidRDefault="00700D4B" w:rsidP="00700D4B">
      <w:pPr>
        <w:rPr>
          <w:rFonts w:eastAsia="GillHandbook Roman"/>
          <w:color w:val="000000"/>
        </w:rPr>
      </w:pPr>
    </w:p>
    <w:p w14:paraId="414F824A" w14:textId="77777777" w:rsidR="00700D4B" w:rsidRPr="00700D4B" w:rsidRDefault="00700D4B" w:rsidP="00700D4B">
      <w:pPr>
        <w:rPr>
          <w:rFonts w:eastAsia="GillHandbook Roman"/>
          <w:color w:val="000000"/>
        </w:rPr>
      </w:pPr>
      <w:r w:rsidRPr="00700D4B">
        <w:rPr>
          <w:rFonts w:eastAsia="GillHandbook Roman"/>
          <w:color w:val="000000"/>
        </w:rPr>
        <w:t>Date: 26 July 2023</w:t>
      </w:r>
    </w:p>
    <w:p w14:paraId="22462182" w14:textId="77777777" w:rsidR="00700D4B" w:rsidRPr="00700D4B" w:rsidRDefault="00700D4B" w:rsidP="00700D4B">
      <w:pPr>
        <w:rPr>
          <w:rFonts w:eastAsia="GillHandbook Roman"/>
          <w:color w:val="000000"/>
        </w:rPr>
      </w:pPr>
    </w:p>
    <w:p w14:paraId="7E2DDB22" w14:textId="77803CC8" w:rsidR="003A4B82" w:rsidRPr="00700D4B" w:rsidRDefault="003A4B82" w:rsidP="003A4B82">
      <w:pPr>
        <w:spacing w:line="276" w:lineRule="auto"/>
        <w:rPr>
          <w:sz w:val="28"/>
          <w:szCs w:val="28"/>
        </w:rPr>
      </w:pPr>
    </w:p>
    <w:sectPr w:rsidR="003A4B82" w:rsidRPr="00700D4B" w:rsidSect="00532963">
      <w:headerReference w:type="default" r:id="rId9"/>
      <w:footerReference w:type="default" r:id="rId10"/>
      <w:headerReference w:type="first" r:id="rId11"/>
      <w:footerReference w:type="first" r:id="rId12"/>
      <w:pgSz w:w="11906" w:h="16838"/>
      <w:pgMar w:top="1560" w:right="1440" w:bottom="1135" w:left="1440"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E571" w14:textId="77777777" w:rsidR="00965CCC" w:rsidRDefault="00965CCC" w:rsidP="003A4B82">
      <w:r>
        <w:separator/>
      </w:r>
    </w:p>
    <w:p w14:paraId="33E2A594" w14:textId="77777777" w:rsidR="00FF7344" w:rsidRDefault="00FF7344" w:rsidP="003A4B82"/>
    <w:p w14:paraId="222EE6F1" w14:textId="77777777" w:rsidR="00FF7344" w:rsidRDefault="00FF7344" w:rsidP="003A4B82"/>
    <w:p w14:paraId="1FABDBA8" w14:textId="77777777" w:rsidR="00FF7344" w:rsidRDefault="00FF7344" w:rsidP="003A4B82"/>
  </w:endnote>
  <w:endnote w:type="continuationSeparator" w:id="0">
    <w:p w14:paraId="5B7C6F6E" w14:textId="77777777" w:rsidR="00965CCC" w:rsidRDefault="00965CCC" w:rsidP="003A4B82">
      <w:r>
        <w:continuationSeparator/>
      </w:r>
    </w:p>
    <w:p w14:paraId="12CD3BA3" w14:textId="77777777" w:rsidR="00FF7344" w:rsidRDefault="00FF7344" w:rsidP="003A4B82"/>
    <w:p w14:paraId="4E842BBA" w14:textId="77777777" w:rsidR="00FF7344" w:rsidRDefault="00FF7344" w:rsidP="003A4B82"/>
    <w:p w14:paraId="70149C3A" w14:textId="77777777" w:rsidR="00FF7344" w:rsidRDefault="00FF7344" w:rsidP="003A4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Handbook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60CD" w14:textId="276B1807" w:rsidR="00532963" w:rsidRPr="003A4B82" w:rsidRDefault="00532963" w:rsidP="00532963">
    <w:pPr>
      <w:rPr>
        <w:rStyle w:val="IntenseEmphasis"/>
      </w:rPr>
    </w:pPr>
    <w:r w:rsidRPr="003A4B82">
      <w:rPr>
        <w:rStyle w:val="IntenseEmphasis"/>
      </w:rPr>
      <w:t xml:space="preserve">Review: </w:t>
    </w:r>
    <w:r w:rsidR="00700D4B">
      <w:rPr>
        <w:rStyle w:val="IntenseEmphasis"/>
        <w:highlight w:val="yellow"/>
      </w:rPr>
      <w:t>Jul</w:t>
    </w:r>
    <w:r w:rsidRPr="00532963">
      <w:rPr>
        <w:rStyle w:val="IntenseEmphasis"/>
        <w:highlight w:val="yellow"/>
      </w:rPr>
      <w:t>y 202</w:t>
    </w:r>
    <w:r w:rsidR="00700D4B">
      <w:rPr>
        <w:rStyle w:val="IntenseEmphasis"/>
      </w:rPr>
      <w:t>6</w:t>
    </w:r>
  </w:p>
  <w:p w14:paraId="17862F97" w14:textId="731BEBAD" w:rsidR="00FF7344" w:rsidRPr="00532963" w:rsidRDefault="00532963" w:rsidP="00532963">
    <w:pPr>
      <w:pStyle w:val="Footer"/>
    </w:pPr>
    <w:r w:rsidRPr="00532963">
      <w:rPr>
        <w:rStyle w:val="IntenseEmphasis"/>
        <w:highlight w:val="yellow"/>
      </w:rPr>
      <w:t>NSD</w:t>
    </w:r>
    <w:r w:rsidRPr="003A4B82">
      <w:rPr>
        <w:rStyle w:val="IntenseEmphasis"/>
      </w:rPr>
      <w:tab/>
    </w:r>
    <w:r w:rsidRPr="003A4B82">
      <w:rPr>
        <w:rStyle w:val="IntenseEmphasis"/>
      </w:rPr>
      <w:tab/>
      <w:t xml:space="preserve">Page </w:t>
    </w:r>
    <w:r w:rsidRPr="003A4B82">
      <w:rPr>
        <w:rStyle w:val="IntenseEmphasis"/>
      </w:rPr>
      <w:fldChar w:fldCharType="begin"/>
    </w:r>
    <w:r w:rsidRPr="003A4B82">
      <w:rPr>
        <w:rStyle w:val="IntenseEmphasis"/>
      </w:rPr>
      <w:instrText xml:space="preserve"> PAGE  \* Arabic  \* MERGEFORMAT </w:instrText>
    </w:r>
    <w:r w:rsidRPr="003A4B82">
      <w:rPr>
        <w:rStyle w:val="IntenseEmphasis"/>
      </w:rPr>
      <w:fldChar w:fldCharType="separate"/>
    </w:r>
    <w:r>
      <w:rPr>
        <w:rStyle w:val="IntenseEmphasis"/>
      </w:rPr>
      <w:t>1</w:t>
    </w:r>
    <w:r w:rsidRPr="003A4B82">
      <w:rPr>
        <w:rStyle w:val="IntenseEmphasis"/>
      </w:rPr>
      <w:fldChar w:fldCharType="end"/>
    </w:r>
    <w:r w:rsidRPr="003A4B82">
      <w:rPr>
        <w:rStyle w:val="IntenseEmphasis"/>
      </w:rPr>
      <w:t xml:space="preserve"> of </w:t>
    </w:r>
    <w:r w:rsidRPr="003A4B82">
      <w:rPr>
        <w:rStyle w:val="IntenseEmphasis"/>
      </w:rPr>
      <w:fldChar w:fldCharType="begin"/>
    </w:r>
    <w:r w:rsidRPr="003A4B82">
      <w:rPr>
        <w:rStyle w:val="IntenseEmphasis"/>
      </w:rPr>
      <w:instrText xml:space="preserve"> NUMPAGES  \* Arabic  \* MERGEFORMAT </w:instrText>
    </w:r>
    <w:r w:rsidRPr="003A4B82">
      <w:rPr>
        <w:rStyle w:val="IntenseEmphasis"/>
      </w:rPr>
      <w:fldChar w:fldCharType="separate"/>
    </w:r>
    <w:r>
      <w:rPr>
        <w:rStyle w:val="IntenseEmphasis"/>
      </w:rPr>
      <w:t>3</w:t>
    </w:r>
    <w:r w:rsidRPr="003A4B82">
      <w:rPr>
        <w:rStyle w:val="IntenseEmphasi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2CADCDF4" w:rsidR="00E75020" w:rsidRPr="003A4B82" w:rsidRDefault="00E75020" w:rsidP="003A4B82">
    <w:pPr>
      <w:rPr>
        <w:rStyle w:val="IntenseEmphasis"/>
      </w:rPr>
    </w:pPr>
    <w:r w:rsidRPr="003A4B82">
      <w:rPr>
        <w:rStyle w:val="IntenseEmphasis"/>
      </w:rPr>
      <w:t>Review:</w:t>
    </w:r>
    <w:r w:rsidR="005A1EDC" w:rsidRPr="003A4B82">
      <w:rPr>
        <w:rStyle w:val="IntenseEmphasis"/>
      </w:rPr>
      <w:t xml:space="preserve"> </w:t>
    </w:r>
    <w:r w:rsidR="00700D4B">
      <w:rPr>
        <w:rStyle w:val="IntenseEmphasis"/>
        <w:highlight w:val="yellow"/>
      </w:rPr>
      <w:t>July 2026</w:t>
    </w:r>
  </w:p>
  <w:p w14:paraId="4395E663" w14:textId="2136D6D0" w:rsidR="00FF7344" w:rsidRPr="003A4B82" w:rsidRDefault="00532963" w:rsidP="003A4B82">
    <w:pPr>
      <w:pStyle w:val="Footer"/>
    </w:pPr>
    <w:r w:rsidRPr="00532963">
      <w:rPr>
        <w:rStyle w:val="IntenseEmphasis"/>
        <w:highlight w:val="yellow"/>
      </w:rPr>
      <w:t>NSD</w:t>
    </w:r>
    <w:r w:rsidR="00E75020" w:rsidRPr="003A4B82">
      <w:rPr>
        <w:rStyle w:val="IntenseEmphasis"/>
      </w:rPr>
      <w:tab/>
    </w:r>
    <w:r w:rsidR="00E75020" w:rsidRPr="003A4B82">
      <w:rPr>
        <w:rStyle w:val="IntenseEmphasis"/>
      </w:rPr>
      <w:tab/>
      <w:t xml:space="preserve">Page </w:t>
    </w:r>
    <w:r w:rsidR="00E75020" w:rsidRPr="003A4B82">
      <w:rPr>
        <w:rStyle w:val="IntenseEmphasis"/>
      </w:rPr>
      <w:fldChar w:fldCharType="begin"/>
    </w:r>
    <w:r w:rsidR="00E75020" w:rsidRPr="003A4B82">
      <w:rPr>
        <w:rStyle w:val="IntenseEmphasis"/>
      </w:rPr>
      <w:instrText xml:space="preserve"> PAGE  \* Arabic  \* MERGEFORMAT </w:instrText>
    </w:r>
    <w:r w:rsidR="00E75020" w:rsidRPr="003A4B82">
      <w:rPr>
        <w:rStyle w:val="IntenseEmphasis"/>
      </w:rPr>
      <w:fldChar w:fldCharType="separate"/>
    </w:r>
    <w:r w:rsidR="00E75020" w:rsidRPr="003A4B82">
      <w:rPr>
        <w:rStyle w:val="IntenseEmphasis"/>
      </w:rPr>
      <w:t>2</w:t>
    </w:r>
    <w:r w:rsidR="00E75020" w:rsidRPr="003A4B82">
      <w:rPr>
        <w:rStyle w:val="IntenseEmphasis"/>
      </w:rPr>
      <w:fldChar w:fldCharType="end"/>
    </w:r>
    <w:r w:rsidR="00E75020" w:rsidRPr="003A4B82">
      <w:rPr>
        <w:rStyle w:val="IntenseEmphasis"/>
      </w:rPr>
      <w:t xml:space="preserve"> of </w:t>
    </w:r>
    <w:r w:rsidR="00E75020" w:rsidRPr="003A4B82">
      <w:rPr>
        <w:rStyle w:val="IntenseEmphasis"/>
      </w:rPr>
      <w:fldChar w:fldCharType="begin"/>
    </w:r>
    <w:r w:rsidR="00E75020" w:rsidRPr="003A4B82">
      <w:rPr>
        <w:rStyle w:val="IntenseEmphasis"/>
      </w:rPr>
      <w:instrText xml:space="preserve"> NUMPAGES  \* Arabic  \* MERGEFORMAT </w:instrText>
    </w:r>
    <w:r w:rsidR="00E75020" w:rsidRPr="003A4B82">
      <w:rPr>
        <w:rStyle w:val="IntenseEmphasis"/>
      </w:rPr>
      <w:fldChar w:fldCharType="separate"/>
    </w:r>
    <w:r w:rsidR="00E75020" w:rsidRPr="003A4B82">
      <w:rPr>
        <w:rStyle w:val="IntenseEmphasis"/>
      </w:rPr>
      <w:t>5</w:t>
    </w:r>
    <w:r w:rsidR="00E75020" w:rsidRPr="003A4B82">
      <w:rPr>
        <w:rStyle w:val="IntenseEmphasi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4415" w14:textId="77777777" w:rsidR="00965CCC" w:rsidRDefault="00965CCC" w:rsidP="003A4B82">
      <w:r>
        <w:separator/>
      </w:r>
    </w:p>
    <w:p w14:paraId="6DBC01C9" w14:textId="77777777" w:rsidR="00FF7344" w:rsidRDefault="00FF7344" w:rsidP="003A4B82"/>
    <w:p w14:paraId="18F5C7CF" w14:textId="77777777" w:rsidR="00FF7344" w:rsidRDefault="00FF7344" w:rsidP="003A4B82"/>
    <w:p w14:paraId="1FB3BA50" w14:textId="77777777" w:rsidR="00FF7344" w:rsidRDefault="00FF7344" w:rsidP="003A4B82"/>
  </w:footnote>
  <w:footnote w:type="continuationSeparator" w:id="0">
    <w:p w14:paraId="6FFA790C" w14:textId="77777777" w:rsidR="00965CCC" w:rsidRDefault="00965CCC" w:rsidP="003A4B82">
      <w:r>
        <w:continuationSeparator/>
      </w:r>
    </w:p>
    <w:p w14:paraId="5DD08551" w14:textId="77777777" w:rsidR="00FF7344" w:rsidRDefault="00FF7344" w:rsidP="003A4B82"/>
    <w:p w14:paraId="2C8FED60" w14:textId="77777777" w:rsidR="00FF7344" w:rsidRDefault="00FF7344" w:rsidP="003A4B82"/>
    <w:p w14:paraId="49BDED11" w14:textId="77777777" w:rsidR="00FF7344" w:rsidRDefault="00FF7344" w:rsidP="003A4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11CC" w14:textId="05C18C0D" w:rsidR="00295F59" w:rsidRPr="003A4B82" w:rsidRDefault="003A4B82" w:rsidP="003A4B82">
    <w:pPr>
      <w:pStyle w:val="Header"/>
      <w:rPr>
        <w:rStyle w:val="SubtleEmphasis"/>
      </w:rPr>
    </w:pPr>
    <w:r w:rsidRPr="003A4B82">
      <w:rPr>
        <w:rStyle w:val="SubtleEmphasis"/>
      </w:rPr>
      <w:t>[Network Name]</w:t>
    </w:r>
  </w:p>
  <w:p w14:paraId="32384AD5" w14:textId="74708D6B" w:rsidR="00382E4B" w:rsidRPr="003A4B82" w:rsidRDefault="003A4B82" w:rsidP="003A4B82">
    <w:pPr>
      <w:pStyle w:val="Header"/>
      <w:rPr>
        <w:rStyle w:val="Emphasis"/>
      </w:rPr>
    </w:pPr>
    <w:r w:rsidRPr="003A4B82">
      <w:rPr>
        <w:rStyle w:val="Emphasis"/>
      </w:rPr>
      <w:t>[Document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rsidP="003A4B82">
    <w:pPr>
      <w:pStyle w:val="Header"/>
    </w:pPr>
    <w:r>
      <w:rPr>
        <w:noProof/>
      </w:rPr>
      <mc:AlternateContent>
        <mc:Choice Requires="wps">
          <w:drawing>
            <wp:anchor distT="0" distB="0" distL="114300" distR="114300" simplePos="0" relativeHeight="251663360" behindDoc="0" locked="0" layoutInCell="1" allowOverlap="1" wp14:anchorId="25137AF5" wp14:editId="7E0CEBA3">
              <wp:simplePos x="0" y="0"/>
              <wp:positionH relativeFrom="column">
                <wp:posOffset>-1990725</wp:posOffset>
              </wp:positionH>
              <wp:positionV relativeFrom="paragraph">
                <wp:posOffset>-1880529</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9EDF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6.75pt;margin-top:-148.0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" adj="4320,10364" fillcolor="#004785" stroked="f" strokeweight="2pt"/>
          </w:pict>
        </mc:Fallback>
      </mc:AlternateContent>
    </w:r>
  </w:p>
  <w:p w14:paraId="098B9EBB" w14:textId="77777777" w:rsidR="00FF7344" w:rsidRDefault="00FF7344" w:rsidP="003A4B82"/>
  <w:p w14:paraId="08E04F55" w14:textId="77777777" w:rsidR="00FF7344" w:rsidRDefault="00FF7344" w:rsidP="003A4B82"/>
  <w:p w14:paraId="533EA8C0" w14:textId="77777777" w:rsidR="00FF7344" w:rsidRDefault="00FF7344" w:rsidP="003A4B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3D9"/>
    <w:multiLevelType w:val="hybridMultilevel"/>
    <w:tmpl w:val="A2EE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35F83"/>
    <w:multiLevelType w:val="hybridMultilevel"/>
    <w:tmpl w:val="F198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96B32"/>
    <w:multiLevelType w:val="hybridMultilevel"/>
    <w:tmpl w:val="E7F8BD40"/>
    <w:lvl w:ilvl="0" w:tplc="7A6C23E2">
      <w:start w:val="14"/>
      <w:numFmt w:val="bullet"/>
      <w:lvlText w:val=""/>
      <w:lvlJc w:val="left"/>
      <w:pPr>
        <w:ind w:left="644" w:hanging="360"/>
      </w:pPr>
      <w:rPr>
        <w:rFonts w:ascii="Symbol" w:eastAsiaTheme="minorHAnsi" w:hAnsi="Symbol" w:cs="TimesNewRomanPSMT"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C4562E2"/>
    <w:multiLevelType w:val="hybridMultilevel"/>
    <w:tmpl w:val="CF36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77EBB"/>
    <w:multiLevelType w:val="hybridMultilevel"/>
    <w:tmpl w:val="B058B1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84230"/>
    <w:multiLevelType w:val="hybridMultilevel"/>
    <w:tmpl w:val="2BA484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4E1265A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93366"/>
    <w:multiLevelType w:val="multilevel"/>
    <w:tmpl w:val="362A3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D916D7"/>
    <w:multiLevelType w:val="hybridMultilevel"/>
    <w:tmpl w:val="F5CC2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CD1E69"/>
    <w:multiLevelType w:val="hybridMultilevel"/>
    <w:tmpl w:val="A8FA2516"/>
    <w:lvl w:ilvl="0" w:tplc="084CC672">
      <w:start w:val="1"/>
      <w:numFmt w:val="decimal"/>
      <w:pStyle w:val="Heading2"/>
      <w:lvlText w:val="%1."/>
      <w:lvlJc w:val="left"/>
      <w:pPr>
        <w:ind w:left="720" w:hanging="360"/>
      </w:pPr>
      <w:rPr>
        <w:rFonts w:hint="default"/>
        <w:color w:val="00A2E5"/>
        <w:sz w:val="28"/>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62A84"/>
    <w:multiLevelType w:val="hybridMultilevel"/>
    <w:tmpl w:val="BBA8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737DC"/>
    <w:multiLevelType w:val="hybridMultilevel"/>
    <w:tmpl w:val="A4C821F8"/>
    <w:lvl w:ilvl="0" w:tplc="BCA82B26">
      <w:start w:val="14"/>
      <w:numFmt w:val="bullet"/>
      <w:lvlText w:val=""/>
      <w:lvlJc w:val="left"/>
      <w:pPr>
        <w:ind w:left="643" w:hanging="360"/>
      </w:pPr>
      <w:rPr>
        <w:rFonts w:ascii="Symbol" w:eastAsiaTheme="minorHAnsi" w:hAnsi="Symbo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15:restartNumberingAfterBreak="0">
    <w:nsid w:val="1D742F96"/>
    <w:multiLevelType w:val="hybridMultilevel"/>
    <w:tmpl w:val="7B283D50"/>
    <w:lvl w:ilvl="0" w:tplc="301039D0">
      <w:start w:val="3"/>
      <w:numFmt w:val="bullet"/>
      <w:lvlText w:val=""/>
      <w:lvlJc w:val="left"/>
      <w:pPr>
        <w:ind w:left="2160" w:hanging="360"/>
      </w:pPr>
      <w:rPr>
        <w:rFonts w:ascii="Wingdings" w:eastAsia="Times New Roman" w:hAnsi="Wingdings" w:cs="Trebuchet M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40B37"/>
    <w:multiLevelType w:val="hybridMultilevel"/>
    <w:tmpl w:val="39526144"/>
    <w:lvl w:ilvl="0" w:tplc="A952457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6116E"/>
    <w:multiLevelType w:val="multilevel"/>
    <w:tmpl w:val="ABE60260"/>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3"/>
      <w:numFmt w:val="bullet"/>
      <w:lvlText w:val=""/>
      <w:lvlJc w:val="left"/>
      <w:rPr>
        <w:rFonts w:ascii="Wingdings" w:eastAsia="Times New Roman" w:hAnsi="Wingdings" w:cs="Trebuchet MS" w:hint="default"/>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17"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354F1"/>
    <w:multiLevelType w:val="hybridMultilevel"/>
    <w:tmpl w:val="DBDE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02B07"/>
    <w:multiLevelType w:val="hybridMultilevel"/>
    <w:tmpl w:val="DFF8C518"/>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3E48070C"/>
    <w:multiLevelType w:val="hybridMultilevel"/>
    <w:tmpl w:val="85101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56A5E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D3DF9"/>
    <w:multiLevelType w:val="multilevel"/>
    <w:tmpl w:val="56BCE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21346"/>
    <w:multiLevelType w:val="multilevel"/>
    <w:tmpl w:val="1CF09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384B84"/>
    <w:multiLevelType w:val="hybridMultilevel"/>
    <w:tmpl w:val="EEFE4174"/>
    <w:lvl w:ilvl="0" w:tplc="CB1A32BE">
      <w:start w:val="14"/>
      <w:numFmt w:val="bullet"/>
      <w:lvlText w:val=""/>
      <w:lvlJc w:val="left"/>
      <w:pPr>
        <w:ind w:left="502" w:hanging="360"/>
      </w:pPr>
      <w:rPr>
        <w:rFonts w:ascii="Symbol" w:eastAsiaTheme="minorHAnsi"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6" w15:restartNumberingAfterBreak="0">
    <w:nsid w:val="4E3514BE"/>
    <w:multiLevelType w:val="hybridMultilevel"/>
    <w:tmpl w:val="D79E6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423ABC"/>
    <w:multiLevelType w:val="hybridMultilevel"/>
    <w:tmpl w:val="4D66D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1BC9C66">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66620"/>
    <w:multiLevelType w:val="hybridMultilevel"/>
    <w:tmpl w:val="7F5C50D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085B88"/>
    <w:multiLevelType w:val="hybridMultilevel"/>
    <w:tmpl w:val="52FA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497CA3"/>
    <w:multiLevelType w:val="hybridMultilevel"/>
    <w:tmpl w:val="BAA4BE36"/>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33" w15:restartNumberingAfterBreak="0">
    <w:nsid w:val="638A6323"/>
    <w:multiLevelType w:val="multilevel"/>
    <w:tmpl w:val="FFFFFFFF"/>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34" w15:restartNumberingAfterBreak="0">
    <w:nsid w:val="64CB1A2F"/>
    <w:multiLevelType w:val="multilevel"/>
    <w:tmpl w:val="9500B286"/>
    <w:lvl w:ilvl="0">
      <w:start w:val="1"/>
      <w:numFmt w:val="bullet"/>
      <w:lvlText w:val="•"/>
      <w:lvlJc w:val="left"/>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1C5190"/>
    <w:multiLevelType w:val="hybridMultilevel"/>
    <w:tmpl w:val="AD96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866AFE"/>
    <w:multiLevelType w:val="hybridMultilevel"/>
    <w:tmpl w:val="C50C0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8B842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F435B"/>
    <w:multiLevelType w:val="multilevel"/>
    <w:tmpl w:val="56BCE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594C8A"/>
    <w:multiLevelType w:val="multilevel"/>
    <w:tmpl w:val="FFFFFFFF"/>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40" w15:restartNumberingAfterBreak="0">
    <w:nsid w:val="7BD2774E"/>
    <w:multiLevelType w:val="hybridMultilevel"/>
    <w:tmpl w:val="E34A29D8"/>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414842">
    <w:abstractNumId w:val="41"/>
  </w:num>
  <w:num w:numId="2" w16cid:durableId="1496602202">
    <w:abstractNumId w:val="36"/>
  </w:num>
  <w:num w:numId="3" w16cid:durableId="826942006">
    <w:abstractNumId w:val="14"/>
  </w:num>
  <w:num w:numId="4" w16cid:durableId="2045324570">
    <w:abstractNumId w:val="28"/>
  </w:num>
  <w:num w:numId="5" w16cid:durableId="1858352248">
    <w:abstractNumId w:val="25"/>
  </w:num>
  <w:num w:numId="6" w16cid:durableId="770667341">
    <w:abstractNumId w:val="4"/>
  </w:num>
  <w:num w:numId="7" w16cid:durableId="740102065">
    <w:abstractNumId w:val="22"/>
  </w:num>
  <w:num w:numId="8" w16cid:durableId="1265652528">
    <w:abstractNumId w:val="17"/>
  </w:num>
  <w:num w:numId="9" w16cid:durableId="1628588398">
    <w:abstractNumId w:val="31"/>
  </w:num>
  <w:num w:numId="10" w16cid:durableId="201744665">
    <w:abstractNumId w:val="10"/>
  </w:num>
  <w:num w:numId="11" w16cid:durableId="2052487090">
    <w:abstractNumId w:val="24"/>
  </w:num>
  <w:num w:numId="12" w16cid:durableId="969163586">
    <w:abstractNumId w:val="2"/>
  </w:num>
  <w:num w:numId="13" w16cid:durableId="107429083">
    <w:abstractNumId w:val="12"/>
  </w:num>
  <w:num w:numId="14" w16cid:durableId="17900805">
    <w:abstractNumId w:val="20"/>
  </w:num>
  <w:num w:numId="15" w16cid:durableId="1888562011">
    <w:abstractNumId w:val="3"/>
  </w:num>
  <w:num w:numId="16" w16cid:durableId="1957062262">
    <w:abstractNumId w:val="11"/>
  </w:num>
  <w:num w:numId="17" w16cid:durableId="13504803">
    <w:abstractNumId w:val="37"/>
  </w:num>
  <w:num w:numId="18" w16cid:durableId="482745875">
    <w:abstractNumId w:val="5"/>
  </w:num>
  <w:num w:numId="19" w16cid:durableId="141167886">
    <w:abstractNumId w:val="9"/>
  </w:num>
  <w:num w:numId="20" w16cid:durableId="2094888795">
    <w:abstractNumId w:val="6"/>
  </w:num>
  <w:num w:numId="21" w16cid:durableId="732392723">
    <w:abstractNumId w:val="29"/>
  </w:num>
  <w:num w:numId="22" w16cid:durableId="1159468105">
    <w:abstractNumId w:val="32"/>
  </w:num>
  <w:num w:numId="23" w16cid:durableId="547767506">
    <w:abstractNumId w:val="35"/>
  </w:num>
  <w:num w:numId="24" w16cid:durableId="1462459083">
    <w:abstractNumId w:val="15"/>
  </w:num>
  <w:num w:numId="25" w16cid:durableId="1533155488">
    <w:abstractNumId w:val="19"/>
  </w:num>
  <w:num w:numId="26" w16cid:durableId="821579547">
    <w:abstractNumId w:val="40"/>
  </w:num>
  <w:num w:numId="27" w16cid:durableId="1831408529">
    <w:abstractNumId w:val="26"/>
  </w:num>
  <w:num w:numId="28" w16cid:durableId="707728401">
    <w:abstractNumId w:val="8"/>
  </w:num>
  <w:num w:numId="29" w16cid:durableId="1583098288">
    <w:abstractNumId w:val="18"/>
  </w:num>
  <w:num w:numId="30" w16cid:durableId="22639150">
    <w:abstractNumId w:val="30"/>
  </w:num>
  <w:num w:numId="31" w16cid:durableId="834960158">
    <w:abstractNumId w:val="1"/>
  </w:num>
  <w:num w:numId="32" w16cid:durableId="156188046">
    <w:abstractNumId w:val="27"/>
  </w:num>
  <w:num w:numId="33" w16cid:durableId="751439618">
    <w:abstractNumId w:val="16"/>
  </w:num>
  <w:num w:numId="34" w16cid:durableId="1650984602">
    <w:abstractNumId w:val="33"/>
  </w:num>
  <w:num w:numId="35" w16cid:durableId="1836870721">
    <w:abstractNumId w:val="39"/>
  </w:num>
  <w:num w:numId="36" w16cid:durableId="1459909323">
    <w:abstractNumId w:val="0"/>
  </w:num>
  <w:num w:numId="37" w16cid:durableId="400713189">
    <w:abstractNumId w:val="13"/>
  </w:num>
  <w:num w:numId="38" w16cid:durableId="107553238">
    <w:abstractNumId w:val="21"/>
  </w:num>
  <w:num w:numId="39" w16cid:durableId="1499493249">
    <w:abstractNumId w:val="7"/>
  </w:num>
  <w:num w:numId="40" w16cid:durableId="1756634503">
    <w:abstractNumId w:val="23"/>
  </w:num>
  <w:num w:numId="41" w16cid:durableId="1851868687">
    <w:abstractNumId w:val="34"/>
  </w:num>
  <w:num w:numId="42" w16cid:durableId="198785399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2C55"/>
    <w:rsid w:val="00036824"/>
    <w:rsid w:val="0003731A"/>
    <w:rsid w:val="00050EA6"/>
    <w:rsid w:val="0005672E"/>
    <w:rsid w:val="00094FC9"/>
    <w:rsid w:val="001166B5"/>
    <w:rsid w:val="00162C2C"/>
    <w:rsid w:val="001A4774"/>
    <w:rsid w:val="001A487F"/>
    <w:rsid w:val="001A71ED"/>
    <w:rsid w:val="001B4068"/>
    <w:rsid w:val="001C3967"/>
    <w:rsid w:val="001F6C59"/>
    <w:rsid w:val="0020605E"/>
    <w:rsid w:val="00221AEE"/>
    <w:rsid w:val="0023787D"/>
    <w:rsid w:val="00243032"/>
    <w:rsid w:val="00245111"/>
    <w:rsid w:val="00295F59"/>
    <w:rsid w:val="002B31E6"/>
    <w:rsid w:val="003259EB"/>
    <w:rsid w:val="003519F4"/>
    <w:rsid w:val="00371997"/>
    <w:rsid w:val="00382E4B"/>
    <w:rsid w:val="00384B46"/>
    <w:rsid w:val="00392132"/>
    <w:rsid w:val="003A2C06"/>
    <w:rsid w:val="003A4B82"/>
    <w:rsid w:val="003B5EC3"/>
    <w:rsid w:val="003D4CA1"/>
    <w:rsid w:val="003F5E0D"/>
    <w:rsid w:val="00414C9C"/>
    <w:rsid w:val="00417CE0"/>
    <w:rsid w:val="00457071"/>
    <w:rsid w:val="00472D90"/>
    <w:rsid w:val="004A4F18"/>
    <w:rsid w:val="00532963"/>
    <w:rsid w:val="00535327"/>
    <w:rsid w:val="005526F3"/>
    <w:rsid w:val="005A1EDC"/>
    <w:rsid w:val="005A3C7F"/>
    <w:rsid w:val="005C3338"/>
    <w:rsid w:val="005C7FDD"/>
    <w:rsid w:val="005E664B"/>
    <w:rsid w:val="005F44B0"/>
    <w:rsid w:val="0062327F"/>
    <w:rsid w:val="00634E88"/>
    <w:rsid w:val="00641E11"/>
    <w:rsid w:val="006827B9"/>
    <w:rsid w:val="00682E4F"/>
    <w:rsid w:val="006843A9"/>
    <w:rsid w:val="006F0B75"/>
    <w:rsid w:val="00700D4B"/>
    <w:rsid w:val="007D0D7E"/>
    <w:rsid w:val="00812923"/>
    <w:rsid w:val="008737A7"/>
    <w:rsid w:val="00882826"/>
    <w:rsid w:val="008830A7"/>
    <w:rsid w:val="00887584"/>
    <w:rsid w:val="008B66AB"/>
    <w:rsid w:val="008D1CE1"/>
    <w:rsid w:val="008D4A72"/>
    <w:rsid w:val="008E4062"/>
    <w:rsid w:val="008E5211"/>
    <w:rsid w:val="008F59F7"/>
    <w:rsid w:val="00965CCC"/>
    <w:rsid w:val="00970490"/>
    <w:rsid w:val="00971EA3"/>
    <w:rsid w:val="009945FD"/>
    <w:rsid w:val="009B6AC6"/>
    <w:rsid w:val="009C1358"/>
    <w:rsid w:val="009D1AC6"/>
    <w:rsid w:val="009D4F8F"/>
    <w:rsid w:val="00A22622"/>
    <w:rsid w:val="00A306FA"/>
    <w:rsid w:val="00A70944"/>
    <w:rsid w:val="00AA0C8F"/>
    <w:rsid w:val="00AA4213"/>
    <w:rsid w:val="00AC78E1"/>
    <w:rsid w:val="00AE514B"/>
    <w:rsid w:val="00B049BA"/>
    <w:rsid w:val="00B61AD9"/>
    <w:rsid w:val="00B6404B"/>
    <w:rsid w:val="00BA372B"/>
    <w:rsid w:val="00BF7474"/>
    <w:rsid w:val="00C10D8B"/>
    <w:rsid w:val="00C36CE7"/>
    <w:rsid w:val="00C63425"/>
    <w:rsid w:val="00C81BE9"/>
    <w:rsid w:val="00C95390"/>
    <w:rsid w:val="00CB0B9B"/>
    <w:rsid w:val="00CC1230"/>
    <w:rsid w:val="00D60669"/>
    <w:rsid w:val="00D74871"/>
    <w:rsid w:val="00DD1A99"/>
    <w:rsid w:val="00DE078E"/>
    <w:rsid w:val="00E05122"/>
    <w:rsid w:val="00E4686A"/>
    <w:rsid w:val="00E72699"/>
    <w:rsid w:val="00E75020"/>
    <w:rsid w:val="00EC23F5"/>
    <w:rsid w:val="00EE2B12"/>
    <w:rsid w:val="00EE4195"/>
    <w:rsid w:val="00F277C7"/>
    <w:rsid w:val="00F41042"/>
    <w:rsid w:val="00F53303"/>
    <w:rsid w:val="00F7376B"/>
    <w:rsid w:val="00F81525"/>
    <w:rsid w:val="00FA31BC"/>
    <w:rsid w:val="00FB3B4D"/>
    <w:rsid w:val="00FB5AE5"/>
    <w:rsid w:val="00FC277B"/>
    <w:rsid w:val="00FE1D59"/>
    <w:rsid w:val="00FF069A"/>
    <w:rsid w:val="00FF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82"/>
    <w:pPr>
      <w:spacing w:after="0" w:line="240" w:lineRule="auto"/>
    </w:pPr>
    <w:rPr>
      <w:rFonts w:ascii="Arial" w:eastAsiaTheme="minorEastAsia" w:hAnsi="Arial" w:cs="Arial"/>
      <w:color w:val="000000" w:themeColor="text1"/>
      <w:sz w:val="24"/>
      <w:szCs w:val="24"/>
      <w:lang w:eastAsia="en-GB"/>
    </w:rPr>
  </w:style>
  <w:style w:type="paragraph" w:styleId="Heading1">
    <w:name w:val="heading 1"/>
    <w:basedOn w:val="Normal"/>
    <w:next w:val="Normal"/>
    <w:link w:val="Heading1Char"/>
    <w:uiPriority w:val="9"/>
    <w:qFormat/>
    <w:rsid w:val="003A4B82"/>
    <w:pPr>
      <w:spacing w:after="120"/>
      <w:outlineLvl w:val="0"/>
    </w:pPr>
    <w:rPr>
      <w:rFonts w:eastAsiaTheme="minorHAnsi"/>
      <w:b/>
      <w:color w:val="004785"/>
      <w:sz w:val="32"/>
      <w:szCs w:val="32"/>
      <w:lang w:eastAsia="en-US"/>
    </w:rPr>
  </w:style>
  <w:style w:type="paragraph" w:styleId="Heading2">
    <w:name w:val="heading 2"/>
    <w:basedOn w:val="Normal"/>
    <w:next w:val="Normal"/>
    <w:link w:val="Heading2Char"/>
    <w:uiPriority w:val="9"/>
    <w:unhideWhenUsed/>
    <w:qFormat/>
    <w:rsid w:val="00532963"/>
    <w:pPr>
      <w:numPr>
        <w:numId w:val="19"/>
      </w:numPr>
      <w:spacing w:after="120" w:line="276" w:lineRule="auto"/>
      <w:ind w:left="425" w:hanging="425"/>
      <w:contextualSpacing/>
      <w:outlineLvl w:val="1"/>
    </w:pPr>
    <w:rPr>
      <w:rFonts w:eastAsiaTheme="minorHAnsi"/>
      <w:b/>
      <w:color w:val="00A2E5"/>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532963"/>
    <w:rPr>
      <w:rFonts w:ascii="Arial" w:hAnsi="Arial" w:cs="Arial"/>
      <w:b/>
      <w:color w:val="00A2E5"/>
      <w:sz w:val="28"/>
      <w:szCs w:val="28"/>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 w:type="character" w:customStyle="1" w:styleId="Heading1Char">
    <w:name w:val="Heading 1 Char"/>
    <w:basedOn w:val="DefaultParagraphFont"/>
    <w:link w:val="Heading1"/>
    <w:uiPriority w:val="9"/>
    <w:rsid w:val="003A4B82"/>
    <w:rPr>
      <w:rFonts w:ascii="Arial" w:hAnsi="Arial" w:cs="Arial"/>
      <w:b/>
      <w:color w:val="004785"/>
      <w:sz w:val="32"/>
      <w:szCs w:val="32"/>
    </w:rPr>
  </w:style>
  <w:style w:type="paragraph" w:styleId="Bibliography">
    <w:name w:val="Bibliography"/>
    <w:basedOn w:val="Normal"/>
    <w:next w:val="Normal"/>
    <w:uiPriority w:val="37"/>
    <w:semiHidden/>
    <w:unhideWhenUsed/>
    <w:rsid w:val="00AA4213"/>
  </w:style>
  <w:style w:type="table" w:customStyle="1" w:styleId="TableGrid1">
    <w:name w:val="Table Grid1"/>
    <w:basedOn w:val="TableNormal"/>
    <w:next w:val="TableGrid"/>
    <w:uiPriority w:val="39"/>
    <w:rsid w:val="00AA421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4B82"/>
    <w:rPr>
      <w:b/>
      <w:color w:val="004785"/>
      <w:sz w:val="44"/>
      <w:szCs w:val="44"/>
    </w:rPr>
  </w:style>
  <w:style w:type="character" w:customStyle="1" w:styleId="TitleChar">
    <w:name w:val="Title Char"/>
    <w:basedOn w:val="DefaultParagraphFont"/>
    <w:link w:val="Title"/>
    <w:uiPriority w:val="10"/>
    <w:rsid w:val="003A4B82"/>
    <w:rPr>
      <w:rFonts w:ascii="Arial" w:eastAsiaTheme="minorEastAsia" w:hAnsi="Arial" w:cs="Arial"/>
      <w:b/>
      <w:color w:val="004785"/>
      <w:sz w:val="44"/>
      <w:szCs w:val="44"/>
      <w:lang w:eastAsia="en-GB"/>
    </w:rPr>
  </w:style>
  <w:style w:type="paragraph" w:styleId="Subtitle">
    <w:name w:val="Subtitle"/>
    <w:basedOn w:val="Normal"/>
    <w:next w:val="Normal"/>
    <w:link w:val="SubtitleChar"/>
    <w:uiPriority w:val="11"/>
    <w:qFormat/>
    <w:rsid w:val="003A4B82"/>
    <w:rPr>
      <w:bCs/>
      <w:color w:val="004785"/>
      <w:sz w:val="44"/>
      <w:szCs w:val="44"/>
    </w:rPr>
  </w:style>
  <w:style w:type="character" w:customStyle="1" w:styleId="SubtitleChar">
    <w:name w:val="Subtitle Char"/>
    <w:basedOn w:val="DefaultParagraphFont"/>
    <w:link w:val="Subtitle"/>
    <w:uiPriority w:val="11"/>
    <w:rsid w:val="003A4B82"/>
    <w:rPr>
      <w:rFonts w:ascii="Arial" w:eastAsiaTheme="minorEastAsia" w:hAnsi="Arial" w:cs="Arial"/>
      <w:bCs/>
      <w:color w:val="004785"/>
      <w:sz w:val="44"/>
      <w:szCs w:val="44"/>
      <w:lang w:eastAsia="en-GB"/>
    </w:rPr>
  </w:style>
  <w:style w:type="character" w:styleId="IntenseEmphasis">
    <w:name w:val="Intense Emphasis"/>
    <w:aliases w:val="Q-Pulse Footer"/>
    <w:uiPriority w:val="21"/>
    <w:qFormat/>
    <w:rsid w:val="003A4B82"/>
    <w:rPr>
      <w:rFonts w:ascii="Arial" w:hAnsi="Arial" w:cs="Arial"/>
      <w:color w:val="004785"/>
      <w:sz w:val="20"/>
      <w:szCs w:val="20"/>
    </w:rPr>
  </w:style>
  <w:style w:type="character" w:styleId="SubtleEmphasis">
    <w:name w:val="Subtle Emphasis"/>
    <w:aliases w:val="Network Header"/>
    <w:uiPriority w:val="19"/>
    <w:qFormat/>
    <w:rsid w:val="003A4B82"/>
    <w:rPr>
      <w:rFonts w:ascii="Arial" w:eastAsiaTheme="minorEastAsia" w:hAnsi="Arial" w:cs="Arial"/>
      <w:b/>
      <w:color w:val="365F91" w:themeColor="accent1" w:themeShade="BF"/>
      <w:sz w:val="24"/>
      <w:szCs w:val="24"/>
      <w:lang w:eastAsia="en-GB"/>
    </w:rPr>
  </w:style>
  <w:style w:type="character" w:styleId="Emphasis">
    <w:name w:val="Emphasis"/>
    <w:aliases w:val="Document Header"/>
    <w:uiPriority w:val="20"/>
    <w:qFormat/>
    <w:rsid w:val="003A4B82"/>
    <w:rPr>
      <w:rFonts w:ascii="Arial" w:eastAsiaTheme="minorEastAsia" w:hAnsi="Arial" w:cs="Arial"/>
      <w:bCs/>
      <w:color w:val="365F91" w:themeColor="accent1" w:themeShade="BF"/>
      <w:sz w:val="24"/>
      <w:szCs w:val="24"/>
      <w:lang w:eastAsia="en-GB"/>
    </w:rPr>
  </w:style>
  <w:style w:type="paragraph" w:styleId="TOCHeading">
    <w:name w:val="TOC Heading"/>
    <w:basedOn w:val="Heading1"/>
    <w:next w:val="Normal"/>
    <w:uiPriority w:val="39"/>
    <w:unhideWhenUsed/>
    <w:qFormat/>
    <w:rsid w:val="003A4B82"/>
    <w:pPr>
      <w:keepNext/>
      <w:keepLines/>
      <w:spacing w:before="240" w:after="0" w:line="259" w:lineRule="auto"/>
      <w:outlineLvl w:val="9"/>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3A4B82"/>
    <w:pPr>
      <w:spacing w:after="100"/>
    </w:pPr>
  </w:style>
  <w:style w:type="paragraph" w:styleId="TOC2">
    <w:name w:val="toc 2"/>
    <w:basedOn w:val="Normal"/>
    <w:next w:val="Normal"/>
    <w:autoRedefine/>
    <w:uiPriority w:val="39"/>
    <w:unhideWhenUsed/>
    <w:rsid w:val="003A4B8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Mus</b:Tag>
    <b:SourceType>Book</b:SourceType>
    <b:Guid>{53346E08-D2AE-4F43-B328-F8568B108918}</b:Guid>
    <b:Author>
      <b:Author>
        <b:NameList>
          <b:Person>
            <b:Last>Musallam K.M.</b:Last>
            <b:First>Rivella</b:First>
            <b:Middle>S., Vichinsky E., Rachmilewitz E.A.</b:Middle>
          </b:Person>
        </b:NameList>
      </b:Author>
    </b:Author>
    <b:Title>Non-transfusion-dependent thalassemias</b:Title>
    <b:Publisher>Haematologica</b:Publisher>
    <b:Year>2013</b:Year>
    <b:Volume>98(6)</b:Volume>
    <b:Pages>833-44</b:Pages>
    <b:RefOrder>1</b:RefOrder>
  </b:Source>
  <b:Source>
    <b:Tag>Sri08</b:Tag>
    <b:SourceType>Book</b:SourceType>
    <b:Guid>{F55A3811-953D-ED44-8794-2E10591E5283}</b:Guid>
    <b:Author>
      <b:Author>
        <b:NameList>
          <b:Person>
            <b:Last>Sripichai O.</b:Last>
            <b:First>Makarasara</b:First>
            <b:Middle>W., Munkongdee T., Kumkhaek C., Nuchprayoon I., Chuansumrit A., Chuncharunee S., Chantrakoon N., Boonmongkol P., Winichagoon P., Fucharoen S.</b:Middle>
          </b:Person>
        </b:NameList>
      </b:Author>
    </b:Author>
    <b:Title>A scoreing system for the classification off beta-thalassemia/Hb E disease severity</b:Title>
    <b:Publisher>American Journal of Hematology</b:Publisher>
    <b:Year>2008</b:Year>
    <b:Volume>83(6)</b:Volume>
    <b:Pages>482-484</b:Pages>
    <b:RefOrder>2</b:RefOrder>
  </b:Source>
  <b:Source>
    <b:Tag>Har09</b:Tag>
    <b:SourceType>Book</b:SourceType>
    <b:Guid>{18272BDC-E55C-E84A-9E75-9D9E205B5052}</b:Guid>
    <b:Author>
      <b:Author>
        <b:NameList>
          <b:Person>
            <b:Last>Harris A.M.</b:Last>
            <b:First>Atterbury</b:First>
            <b:Middle>C.L.J., Chaffe B., Elliott C., Hawkins T., Hennem S.J., Howell C., Jones J., Murray S., New H.V., Norfolk D, Pirie L., Russell J., Taylor C.</b:Middle>
          </b:Person>
        </b:NameList>
      </b:Author>
    </b:Author>
    <b:Title>Guideline on the Administration of Blood Components</b:Title>
    <b:Publisher>Brittish Committee for Standards in Haematology</b:Publisher>
    <b:Year>2009</b:Year>
    <b:RefOrder>5</b:RefOrder>
  </b:Source>
  <b:Source>
    <b:Tag>Cap14</b:Tag>
    <b:SourceType>Book</b:SourceType>
    <b:Guid>{A7590EE4-B8B5-8A48-99D3-639AFDBFA0C5}</b:Guid>
    <b:Author>
      <b:Author>
        <b:NameList>
          <b:Person>
            <b:Last>Cappellini M.D.</b:Last>
            <b:First>Cohen</b:First>
            <b:Middle>A., Porter J., Taher A., Viprakasit V.</b:Middle>
          </b:Person>
        </b:NameList>
      </b:Author>
    </b:Author>
    <b:Title>Guidelines for the management of transfusion dependent thalassaemia (TDT)</b:Title>
    <b:Publisher>Thalassaemia International Federation</b:Publisher>
    <b:Year>2014</b:Year>
    <b:RefOrder>7</b:RefOrder>
  </b:Source>
  <b:Source>
    <b:Tag>Tah13</b:Tag>
    <b:SourceType>Book</b:SourceType>
    <b:Guid>{4650A615-8F26-4044-BC6D-7DE02F0B13DC}</b:Guid>
    <b:Author>
      <b:Author>
        <b:NameList>
          <b:Person>
            <b:Last>Taher A.</b:Last>
            <b:First>Vichinsky</b:First>
            <b:Middle>E., Musallam K., Cappellini M.D., Viprakasit V.</b:Middle>
          </b:Person>
        </b:NameList>
      </b:Author>
    </b:Author>
    <b:Title>Guidelines for the management of non transfusion dependent thalassaemia (NTDT)</b:Title>
    <b:Publisher>Thalassaemia International Federation</b:Publisher>
    <b:Year>2013</b:Year>
    <b:RefOrder>4</b:RefOrder>
  </b:Source>
  <b:Source>
    <b:Tag>Bai12</b:Tag>
    <b:SourceType>Book</b:SourceType>
    <b:Guid>{CEC3D4AE-A6AE-A34E-8AA5-81B25ADD1244}</b:Guid>
    <b:Author>
      <b:Author>
        <b:NameList>
          <b:Person>
            <b:Last>Bain B.</b:Last>
            <b:First>Farrar</b:First>
            <b:Middle>L, Henthorn J., Old J., Rees D., Roper D., Stephens A., Streetly A., Wild B.</b:Middle>
          </b:Person>
        </b:NameList>
      </b:Author>
    </b:Author>
    <b:Title>Sickle Cell and Thalassaemia Handbook for Laboratories</b:Title>
    <b:Publisher>NHS Sickle Cell and Thalassaemia Screening Programme</b:Publisher>
    <b:Year>2012</b:Year>
    <b:RefOrder>3</b:RefOrder>
  </b:Source>
  <b:Source>
    <b:Tag>Dav</b:Tag>
    <b:SourceType>Book</b:SourceType>
    <b:Guid>{3805F260-1175-F746-B7E7-81B46CD6A3F7}</b:Guid>
    <b:Author>
      <b:Author>
        <b:NameList>
          <b:Person>
            <b:Last>Davies J.M.</b:Last>
            <b:First>Lewis</b:First>
            <b:Middle>M.P.N., Wimperis J., Rafi I., Ladhani S., Bolton-Maggs P.H.B.</b:Middle>
          </b:Person>
        </b:NameList>
      </b:Author>
    </b:Author>
    <b:Title>Review of guidelines for the prevention and treatment of infection in patients with an absent or dysfunctional spleen: Prepared on behalf of the British Committee for Standards in Haematology by a Working Party of the Haemato-Oncology Task Force</b:Title>
    <b:Publisher>British Journal of Haematology</b:Publisher>
    <b:Volume>155</b:Volume>
    <b:Pages>308-317</b:Pages>
    <b:Year>2011</b:Year>
    <b:RefOrder>6</b:RefOrder>
  </b:Source>
</b:Sources>
</file>

<file path=customXml/itemProps1.xml><?xml version="1.0" encoding="utf-8"?>
<ds:datastoreItem xmlns:ds="http://schemas.openxmlformats.org/officeDocument/2006/customXml" ds:itemID="{05DD38A0-BBA3-4D25-ACAB-D0036D03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Kirsty Young</cp:lastModifiedBy>
  <cp:revision>2</cp:revision>
  <cp:lastPrinted>2023-01-06T11:35:00Z</cp:lastPrinted>
  <dcterms:created xsi:type="dcterms:W3CDTF">2023-07-28T12:27:00Z</dcterms:created>
  <dcterms:modified xsi:type="dcterms:W3CDTF">2023-07-28T12:27:00Z</dcterms:modified>
</cp:coreProperties>
</file>