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CCB6B" w14:textId="7D1A09E6" w:rsidR="00F53303" w:rsidRPr="0065647A" w:rsidRDefault="00617D31" w:rsidP="0065647A">
      <w:pPr>
        <w:jc w:val="both"/>
        <w:rPr>
          <w:rFonts w:cstheme="minorHAnsi"/>
          <w:sz w:val="24"/>
          <w:szCs w:val="24"/>
        </w:rPr>
      </w:pPr>
      <w:r w:rsidRPr="0065647A">
        <w:rPr>
          <w:rFonts w:cstheme="minorHAnsi"/>
          <w:noProof/>
          <w:sz w:val="24"/>
          <w:szCs w:val="24"/>
          <w:lang w:eastAsia="en-GB"/>
        </w:rPr>
        <mc:AlternateContent>
          <mc:Choice Requires="wps">
            <w:drawing>
              <wp:anchor distT="0" distB="0" distL="114300" distR="114300" simplePos="0" relativeHeight="251660288" behindDoc="0" locked="0" layoutInCell="1" allowOverlap="1" wp14:anchorId="37759683" wp14:editId="7065667F">
                <wp:simplePos x="0" y="0"/>
                <wp:positionH relativeFrom="column">
                  <wp:posOffset>-548640</wp:posOffset>
                </wp:positionH>
                <wp:positionV relativeFrom="paragraph">
                  <wp:posOffset>274320</wp:posOffset>
                </wp:positionV>
                <wp:extent cx="6629400" cy="78359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95639" w14:textId="21DDE313" w:rsidR="000C4A06" w:rsidRPr="00563107" w:rsidRDefault="000C4A06" w:rsidP="00A71581">
                            <w:pPr>
                              <w:jc w:val="center"/>
                              <w:rPr>
                                <w:rFonts w:ascii="Arial" w:hAnsi="Arial" w:cs="Arial"/>
                                <w:b/>
                                <w:color w:val="00A2E5"/>
                                <w:sz w:val="32"/>
                                <w:szCs w:val="32"/>
                              </w:rPr>
                            </w:pPr>
                            <w:r w:rsidRPr="00563107">
                              <w:rPr>
                                <w:rFonts w:ascii="Arial" w:hAnsi="Arial" w:cs="Arial"/>
                                <w:b/>
                                <w:color w:val="00A2E5"/>
                                <w:sz w:val="32"/>
                                <w:szCs w:val="32"/>
                              </w:rPr>
                              <w:t>Scottish Paediatric &amp; Adolescent Rheumatology Network</w:t>
                            </w:r>
                          </w:p>
                          <w:p w14:paraId="585D186F" w14:textId="48B0B6BC" w:rsidR="00563107" w:rsidRDefault="00563107" w:rsidP="00A71581">
                            <w:pPr>
                              <w:jc w:val="center"/>
                              <w:rPr>
                                <w:rFonts w:ascii="Arial" w:hAnsi="Arial" w:cs="Arial"/>
                                <w:b/>
                                <w:color w:val="00A2E5"/>
                                <w:sz w:val="32"/>
                                <w:szCs w:val="32"/>
                              </w:rPr>
                            </w:pPr>
                            <w:r w:rsidRPr="00563107">
                              <w:rPr>
                                <w:rFonts w:ascii="Arial" w:hAnsi="Arial" w:cs="Arial"/>
                                <w:b/>
                                <w:color w:val="00A2E5"/>
                                <w:sz w:val="32"/>
                                <w:szCs w:val="32"/>
                              </w:rPr>
                              <w:t>Chronic Non-Infective Osteitis (CNO): Diagnosis &amp; Management</w:t>
                            </w:r>
                          </w:p>
                          <w:p w14:paraId="3E5F2170" w14:textId="77777777" w:rsidR="00563107" w:rsidRPr="00563107" w:rsidRDefault="00563107" w:rsidP="00A71581">
                            <w:pPr>
                              <w:jc w:val="center"/>
                              <w:rPr>
                                <w:rFonts w:ascii="Arial" w:hAnsi="Arial" w:cs="Arial"/>
                                <w:b/>
                                <w:color w:val="00A2E5"/>
                                <w:sz w:val="32"/>
                                <w:szCs w:val="32"/>
                              </w:rPr>
                            </w:pPr>
                          </w:p>
                          <w:p w14:paraId="5FCD9D99" w14:textId="376839DE" w:rsidR="000C4A06" w:rsidRPr="00F53303" w:rsidRDefault="00563107" w:rsidP="00563107">
                            <w:pPr>
                              <w:jc w:val="center"/>
                              <w:rPr>
                                <w:rFonts w:ascii="Arial" w:hAnsi="Arial" w:cs="Arial"/>
                                <w:b/>
                                <w:color w:val="00A2E5"/>
                                <w:sz w:val="36"/>
                              </w:rPr>
                            </w:pPr>
                            <w:r>
                              <w:t>Scottish Paediatric &amp; Adolescent Rheumatology Network Chronic non- infective Osteitis - Guideline for diagnosis and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59683" id="_x0000_t202" coordsize="21600,21600" o:spt="202" path="m,l,21600r21600,l21600,xe">
                <v:stroke joinstyle="miter"/>
                <v:path gradientshapeok="t" o:connecttype="rect"/>
              </v:shapetype>
              <v:shape id="Text Box 4" o:spid="_x0000_s1026" type="#_x0000_t202" style="position:absolute;margin-left:-43.2pt;margin-top:21.6pt;width:522pt;height:6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" filled="f" stroked="f">
                <v:textbox>
                  <w:txbxContent>
                    <w:p w14:paraId="4FD95639" w14:textId="21DDE313" w:rsidR="000C4A06" w:rsidRPr="00563107" w:rsidRDefault="000C4A06" w:rsidP="00A71581">
                      <w:pPr>
                        <w:jc w:val="center"/>
                        <w:rPr>
                          <w:rFonts w:ascii="Arial" w:hAnsi="Arial" w:cs="Arial"/>
                          <w:b/>
                          <w:color w:val="00A2E5"/>
                          <w:sz w:val="32"/>
                          <w:szCs w:val="32"/>
                        </w:rPr>
                      </w:pPr>
                      <w:r w:rsidRPr="00563107">
                        <w:rPr>
                          <w:rFonts w:ascii="Arial" w:hAnsi="Arial" w:cs="Arial"/>
                          <w:b/>
                          <w:color w:val="00A2E5"/>
                          <w:sz w:val="32"/>
                          <w:szCs w:val="32"/>
                        </w:rPr>
                        <w:t>Scottish Paediatric &amp; Adolescent Rheumatology Network</w:t>
                      </w:r>
                    </w:p>
                    <w:p w14:paraId="585D186F" w14:textId="48B0B6BC" w:rsidR="00563107" w:rsidRDefault="00563107" w:rsidP="00A71581">
                      <w:pPr>
                        <w:jc w:val="center"/>
                        <w:rPr>
                          <w:rFonts w:ascii="Arial" w:hAnsi="Arial" w:cs="Arial"/>
                          <w:b/>
                          <w:color w:val="00A2E5"/>
                          <w:sz w:val="32"/>
                          <w:szCs w:val="32"/>
                        </w:rPr>
                      </w:pPr>
                      <w:r w:rsidRPr="00563107">
                        <w:rPr>
                          <w:rFonts w:ascii="Arial" w:hAnsi="Arial" w:cs="Arial"/>
                          <w:b/>
                          <w:color w:val="00A2E5"/>
                          <w:sz w:val="32"/>
                          <w:szCs w:val="32"/>
                        </w:rPr>
                        <w:t>Chronic Non-Infective Osteitis (CNO): Diagnosis &amp; Management</w:t>
                      </w:r>
                    </w:p>
                    <w:p w14:paraId="3E5F2170" w14:textId="77777777" w:rsidR="00563107" w:rsidRPr="00563107" w:rsidRDefault="00563107" w:rsidP="00A71581">
                      <w:pPr>
                        <w:jc w:val="center"/>
                        <w:rPr>
                          <w:rFonts w:ascii="Arial" w:hAnsi="Arial" w:cs="Arial"/>
                          <w:b/>
                          <w:color w:val="00A2E5"/>
                          <w:sz w:val="32"/>
                          <w:szCs w:val="32"/>
                        </w:rPr>
                      </w:pPr>
                    </w:p>
                    <w:p w14:paraId="5FCD9D99" w14:textId="376839DE" w:rsidR="000C4A06" w:rsidRPr="00F53303" w:rsidRDefault="00563107" w:rsidP="00563107">
                      <w:pPr>
                        <w:jc w:val="center"/>
                        <w:rPr>
                          <w:rFonts w:ascii="Arial" w:hAnsi="Arial" w:cs="Arial"/>
                          <w:b/>
                          <w:color w:val="00A2E5"/>
                          <w:sz w:val="36"/>
                        </w:rPr>
                      </w:pPr>
                      <w:r>
                        <w:t>Scottish Paediatric &amp; Adolescent Rheumatology Network Chronic non- infective Osteitis - Guideline for diagnosis and management</w:t>
                      </w:r>
                    </w:p>
                  </w:txbxContent>
                </v:textbox>
              </v:shape>
            </w:pict>
          </mc:Fallback>
        </mc:AlternateContent>
      </w:r>
    </w:p>
    <w:p w14:paraId="05948F48" w14:textId="77777777" w:rsidR="00F53303" w:rsidRPr="0065647A" w:rsidRDefault="00F53303" w:rsidP="0065647A">
      <w:pPr>
        <w:jc w:val="both"/>
        <w:rPr>
          <w:rFonts w:cstheme="minorHAnsi"/>
          <w:sz w:val="24"/>
          <w:szCs w:val="24"/>
        </w:rPr>
      </w:pPr>
    </w:p>
    <w:p w14:paraId="2F49749B" w14:textId="77777777" w:rsidR="00A71581" w:rsidRPr="0065647A" w:rsidRDefault="00A71581" w:rsidP="0065647A">
      <w:pPr>
        <w:spacing w:after="0"/>
        <w:jc w:val="both"/>
        <w:rPr>
          <w:rFonts w:cstheme="minorHAnsi"/>
          <w:sz w:val="24"/>
          <w:szCs w:val="24"/>
        </w:rPr>
      </w:pPr>
    </w:p>
    <w:p w14:paraId="300B21AC" w14:textId="77777777" w:rsidR="00A71581" w:rsidRPr="0065647A" w:rsidRDefault="00A71581" w:rsidP="0065647A">
      <w:pPr>
        <w:spacing w:after="0"/>
        <w:jc w:val="both"/>
        <w:rPr>
          <w:rFonts w:cstheme="minorHAnsi"/>
          <w:sz w:val="24"/>
          <w:szCs w:val="24"/>
        </w:rPr>
      </w:pPr>
    </w:p>
    <w:p w14:paraId="36178246" w14:textId="77777777" w:rsidR="00A71581" w:rsidRPr="0065647A" w:rsidRDefault="00A71581" w:rsidP="0065647A">
      <w:pPr>
        <w:spacing w:after="0"/>
        <w:jc w:val="both"/>
        <w:rPr>
          <w:rFonts w:cstheme="minorHAnsi"/>
          <w:sz w:val="24"/>
          <w:szCs w:val="24"/>
        </w:rPr>
      </w:pPr>
    </w:p>
    <w:p w14:paraId="586200FC" w14:textId="39E88994" w:rsidR="00563107" w:rsidRPr="0065647A" w:rsidRDefault="00563107" w:rsidP="0065647A">
      <w:pPr>
        <w:jc w:val="both"/>
        <w:rPr>
          <w:rFonts w:cstheme="minorHAnsi"/>
          <w:b/>
          <w:color w:val="00A2E5"/>
          <w:sz w:val="24"/>
          <w:szCs w:val="24"/>
        </w:rPr>
      </w:pPr>
      <w:r w:rsidRPr="0065647A">
        <w:rPr>
          <w:rFonts w:cstheme="minorHAnsi"/>
          <w:b/>
          <w:color w:val="00A2E5"/>
          <w:sz w:val="24"/>
          <w:szCs w:val="24"/>
        </w:rPr>
        <w:t>Objectives</w:t>
      </w:r>
    </w:p>
    <w:p w14:paraId="7ACD0F57" w14:textId="53DEAEB6" w:rsidR="00563107" w:rsidRPr="0065647A" w:rsidRDefault="00563107" w:rsidP="0065647A">
      <w:pPr>
        <w:spacing w:after="0"/>
        <w:jc w:val="both"/>
        <w:rPr>
          <w:rFonts w:cstheme="minorHAnsi"/>
          <w:sz w:val="24"/>
          <w:szCs w:val="24"/>
        </w:rPr>
      </w:pPr>
      <w:r w:rsidRPr="0065647A">
        <w:rPr>
          <w:rFonts w:cstheme="minorHAnsi"/>
          <w:sz w:val="24"/>
          <w:szCs w:val="24"/>
        </w:rPr>
        <w:t xml:space="preserve">To provide guidance on the assessment, </w:t>
      </w:r>
      <w:proofErr w:type="gramStart"/>
      <w:r w:rsidRPr="0065647A">
        <w:rPr>
          <w:rFonts w:cstheme="minorHAnsi"/>
          <w:sz w:val="24"/>
          <w:szCs w:val="24"/>
        </w:rPr>
        <w:t>diagnosis</w:t>
      </w:r>
      <w:proofErr w:type="gramEnd"/>
      <w:r w:rsidRPr="0065647A">
        <w:rPr>
          <w:rFonts w:cstheme="minorHAnsi"/>
          <w:sz w:val="24"/>
          <w:szCs w:val="24"/>
        </w:rPr>
        <w:t xml:space="preserve"> and management of children with suspected or confirmed Chronic Non-Infective Osteitis (CNO), previously Chronic Recurrent Multifocal Osteomyelitis (CRMO). This autoinflammatory condition of the bony skeleton can cause significant morbidity. It is treatable and referral to Paediatric Rheumatology is recommended in all cases. This guideline aims to facilitate earlier diagnosis and treatment to promote improved outcomes for patients. </w:t>
      </w:r>
    </w:p>
    <w:p w14:paraId="39F91332" w14:textId="77777777" w:rsidR="00563107" w:rsidRPr="0065647A" w:rsidRDefault="00563107" w:rsidP="0065647A">
      <w:pPr>
        <w:spacing w:after="0"/>
        <w:jc w:val="both"/>
        <w:rPr>
          <w:rFonts w:cstheme="minorHAnsi"/>
          <w:sz w:val="24"/>
          <w:szCs w:val="24"/>
        </w:rPr>
      </w:pPr>
    </w:p>
    <w:p w14:paraId="4E2DE3D9" w14:textId="32795F23" w:rsidR="00563107" w:rsidRPr="0065647A" w:rsidRDefault="00563107" w:rsidP="0065647A">
      <w:pPr>
        <w:jc w:val="both"/>
        <w:rPr>
          <w:rFonts w:cstheme="minorHAnsi"/>
          <w:b/>
          <w:color w:val="00A2E5"/>
          <w:sz w:val="24"/>
          <w:szCs w:val="24"/>
        </w:rPr>
      </w:pPr>
      <w:r w:rsidRPr="0065647A">
        <w:rPr>
          <w:rFonts w:cstheme="minorHAnsi"/>
          <w:b/>
          <w:color w:val="00A2E5"/>
          <w:sz w:val="24"/>
          <w:szCs w:val="24"/>
        </w:rPr>
        <w:t>Scope</w:t>
      </w:r>
    </w:p>
    <w:p w14:paraId="5CD1F4E7" w14:textId="77777777" w:rsidR="00563107" w:rsidRPr="0065647A" w:rsidRDefault="00563107" w:rsidP="0065647A">
      <w:pPr>
        <w:spacing w:after="0"/>
        <w:jc w:val="both"/>
        <w:rPr>
          <w:rFonts w:cstheme="minorHAnsi"/>
          <w:sz w:val="24"/>
          <w:szCs w:val="24"/>
        </w:rPr>
      </w:pPr>
      <w:r w:rsidRPr="0065647A">
        <w:rPr>
          <w:rFonts w:cstheme="minorHAnsi"/>
          <w:sz w:val="24"/>
          <w:szCs w:val="24"/>
        </w:rPr>
        <w:t xml:space="preserve">Children presenting with suspected or confirmed CNO. </w:t>
      </w:r>
    </w:p>
    <w:p w14:paraId="7B29CD22" w14:textId="77777777" w:rsidR="00563107" w:rsidRPr="0065647A" w:rsidRDefault="00563107" w:rsidP="0065647A">
      <w:pPr>
        <w:jc w:val="both"/>
        <w:rPr>
          <w:rFonts w:cstheme="minorHAnsi"/>
          <w:b/>
          <w:color w:val="00A2E5"/>
          <w:sz w:val="24"/>
          <w:szCs w:val="24"/>
        </w:rPr>
      </w:pPr>
    </w:p>
    <w:p w14:paraId="7DAD1AEE" w14:textId="5ACC94E0" w:rsidR="00563107" w:rsidRPr="0065647A" w:rsidRDefault="00563107" w:rsidP="0065647A">
      <w:pPr>
        <w:jc w:val="both"/>
        <w:rPr>
          <w:rFonts w:cstheme="minorHAnsi"/>
          <w:b/>
          <w:color w:val="00A2E5"/>
          <w:sz w:val="24"/>
          <w:szCs w:val="24"/>
        </w:rPr>
      </w:pPr>
      <w:r w:rsidRPr="0065647A">
        <w:rPr>
          <w:rFonts w:cstheme="minorHAnsi"/>
          <w:b/>
          <w:color w:val="00A2E5"/>
          <w:sz w:val="24"/>
          <w:szCs w:val="24"/>
        </w:rPr>
        <w:t>Audience</w:t>
      </w:r>
    </w:p>
    <w:p w14:paraId="16D1FEC0" w14:textId="77777777" w:rsidR="00563107" w:rsidRPr="0065647A" w:rsidRDefault="00563107" w:rsidP="0065647A">
      <w:pPr>
        <w:spacing w:after="0"/>
        <w:jc w:val="both"/>
        <w:rPr>
          <w:rFonts w:cstheme="minorHAnsi"/>
          <w:sz w:val="24"/>
          <w:szCs w:val="24"/>
        </w:rPr>
      </w:pPr>
      <w:r w:rsidRPr="0065647A">
        <w:rPr>
          <w:rFonts w:cstheme="minorHAnsi"/>
          <w:sz w:val="24"/>
          <w:szCs w:val="24"/>
        </w:rPr>
        <w:t xml:space="preserve">All clinicians who encounter children and young people. </w:t>
      </w:r>
    </w:p>
    <w:p w14:paraId="11C4FA9C" w14:textId="77777777" w:rsidR="00563107" w:rsidRPr="0065647A" w:rsidRDefault="00563107" w:rsidP="0065647A">
      <w:pPr>
        <w:jc w:val="both"/>
        <w:rPr>
          <w:rFonts w:cstheme="minorHAnsi"/>
          <w:b/>
          <w:color w:val="00A2E5"/>
          <w:sz w:val="24"/>
          <w:szCs w:val="24"/>
        </w:rPr>
      </w:pPr>
    </w:p>
    <w:p w14:paraId="1126CFCA" w14:textId="16568F52" w:rsidR="00563107" w:rsidRPr="0065647A" w:rsidRDefault="00563107" w:rsidP="0065647A">
      <w:pPr>
        <w:jc w:val="both"/>
        <w:rPr>
          <w:rFonts w:cstheme="minorHAnsi"/>
          <w:b/>
          <w:color w:val="00A2E5"/>
          <w:sz w:val="24"/>
          <w:szCs w:val="24"/>
        </w:rPr>
      </w:pPr>
      <w:r w:rsidRPr="0065647A">
        <w:rPr>
          <w:rFonts w:cstheme="minorHAnsi"/>
          <w:b/>
          <w:color w:val="00A2E5"/>
          <w:sz w:val="24"/>
          <w:szCs w:val="24"/>
        </w:rPr>
        <w:t>Introduction</w:t>
      </w:r>
    </w:p>
    <w:p w14:paraId="43D683C0" w14:textId="77777777" w:rsidR="00563107" w:rsidRPr="0065647A" w:rsidRDefault="00563107" w:rsidP="0065647A">
      <w:pPr>
        <w:spacing w:after="0"/>
        <w:jc w:val="both"/>
        <w:rPr>
          <w:rFonts w:cstheme="minorHAnsi"/>
          <w:sz w:val="24"/>
          <w:szCs w:val="24"/>
        </w:rPr>
      </w:pPr>
      <w:r w:rsidRPr="0065647A">
        <w:rPr>
          <w:rFonts w:cstheme="minorHAnsi"/>
          <w:sz w:val="24"/>
          <w:szCs w:val="24"/>
        </w:rPr>
        <w:t xml:space="preserve">Chronic Non-Infective Osteitis (CNO) is a rare autoinflammatory condition which results in sterile inflammatory lesions of the bony skeleton. The most common presenting complaints are bony pain and swelling. Clinical course varies and diagnostic delay is common, often resulting in significant pain for those affected. The differential diagnosis is wide, including infective and neoplastic lesions. </w:t>
      </w:r>
      <w:proofErr w:type="gramStart"/>
      <w:r w:rsidRPr="0065647A">
        <w:rPr>
          <w:rFonts w:cstheme="minorHAnsi"/>
          <w:sz w:val="24"/>
          <w:szCs w:val="24"/>
        </w:rPr>
        <w:t>Therefore</w:t>
      </w:r>
      <w:proofErr w:type="gramEnd"/>
      <w:r w:rsidRPr="0065647A">
        <w:rPr>
          <w:rFonts w:cstheme="minorHAnsi"/>
          <w:sz w:val="24"/>
          <w:szCs w:val="24"/>
        </w:rPr>
        <w:t xml:space="preserve"> it is a diagnosis of exclusion. Detailed history and examination will facilitate preliminary diagnosis and guide further investigation, </w:t>
      </w:r>
      <w:proofErr w:type="gramStart"/>
      <w:r w:rsidRPr="0065647A">
        <w:rPr>
          <w:rFonts w:cstheme="minorHAnsi"/>
          <w:sz w:val="24"/>
          <w:szCs w:val="24"/>
        </w:rPr>
        <w:t>management</w:t>
      </w:r>
      <w:proofErr w:type="gramEnd"/>
      <w:r w:rsidRPr="0065647A">
        <w:rPr>
          <w:rFonts w:cstheme="minorHAnsi"/>
          <w:sz w:val="24"/>
          <w:szCs w:val="24"/>
        </w:rPr>
        <w:t xml:space="preserve"> and referral. </w:t>
      </w:r>
    </w:p>
    <w:p w14:paraId="0764807F" w14:textId="77777777" w:rsidR="00563107" w:rsidRPr="0065647A" w:rsidRDefault="00563107" w:rsidP="0065647A">
      <w:pPr>
        <w:spacing w:after="0"/>
        <w:jc w:val="both"/>
        <w:rPr>
          <w:rFonts w:cstheme="minorHAnsi"/>
          <w:sz w:val="24"/>
          <w:szCs w:val="24"/>
        </w:rPr>
      </w:pPr>
    </w:p>
    <w:p w14:paraId="35A22EE0" w14:textId="4015A498" w:rsidR="00563107" w:rsidRPr="0065647A" w:rsidRDefault="00563107" w:rsidP="0065647A">
      <w:pPr>
        <w:jc w:val="both"/>
        <w:rPr>
          <w:rFonts w:cstheme="minorHAnsi"/>
          <w:b/>
          <w:color w:val="00A2E5"/>
          <w:sz w:val="24"/>
          <w:szCs w:val="24"/>
        </w:rPr>
      </w:pPr>
      <w:r w:rsidRPr="0065647A">
        <w:rPr>
          <w:rFonts w:cstheme="minorHAnsi"/>
          <w:b/>
          <w:color w:val="00A2E5"/>
          <w:sz w:val="24"/>
          <w:szCs w:val="24"/>
        </w:rPr>
        <w:t>Clinical Features</w:t>
      </w:r>
    </w:p>
    <w:p w14:paraId="6B9178AE" w14:textId="77777777" w:rsidR="00563107" w:rsidRPr="0065647A" w:rsidRDefault="00563107" w:rsidP="0065647A">
      <w:pPr>
        <w:spacing w:after="0"/>
        <w:jc w:val="both"/>
        <w:rPr>
          <w:rFonts w:cstheme="minorHAnsi"/>
          <w:sz w:val="24"/>
          <w:szCs w:val="24"/>
        </w:rPr>
      </w:pPr>
      <w:r w:rsidRPr="0065647A">
        <w:rPr>
          <w:rFonts w:cstheme="minorHAnsi"/>
          <w:sz w:val="24"/>
          <w:szCs w:val="24"/>
        </w:rPr>
        <w:t>• Bony pain</w:t>
      </w:r>
    </w:p>
    <w:p w14:paraId="408496D9" w14:textId="77777777" w:rsidR="00563107" w:rsidRPr="0065647A" w:rsidRDefault="00563107" w:rsidP="0065647A">
      <w:pPr>
        <w:spacing w:after="0"/>
        <w:ind w:firstLine="720"/>
        <w:jc w:val="both"/>
        <w:rPr>
          <w:rFonts w:cstheme="minorHAnsi"/>
          <w:sz w:val="24"/>
          <w:szCs w:val="24"/>
        </w:rPr>
      </w:pPr>
      <w:r w:rsidRPr="0065647A">
        <w:rPr>
          <w:rFonts w:cstheme="minorHAnsi"/>
          <w:sz w:val="24"/>
          <w:szCs w:val="24"/>
        </w:rPr>
        <w:t xml:space="preserve">Most common presenting complaint </w:t>
      </w:r>
    </w:p>
    <w:p w14:paraId="74EA60D9" w14:textId="77777777" w:rsidR="00563107" w:rsidRPr="0065647A" w:rsidRDefault="00563107" w:rsidP="0065647A">
      <w:pPr>
        <w:spacing w:after="0"/>
        <w:ind w:firstLine="720"/>
        <w:jc w:val="both"/>
        <w:rPr>
          <w:rFonts w:cstheme="minorHAnsi"/>
          <w:sz w:val="24"/>
          <w:szCs w:val="24"/>
        </w:rPr>
      </w:pPr>
      <w:r w:rsidRPr="0065647A">
        <w:rPr>
          <w:rFonts w:cstheme="minorHAnsi"/>
          <w:sz w:val="24"/>
          <w:szCs w:val="24"/>
        </w:rPr>
        <w:t xml:space="preserve">Can be single site or multifocal </w:t>
      </w:r>
    </w:p>
    <w:p w14:paraId="401DE0EA" w14:textId="77777777" w:rsidR="00563107" w:rsidRPr="0065647A" w:rsidRDefault="00563107" w:rsidP="0065647A">
      <w:pPr>
        <w:spacing w:after="0"/>
        <w:ind w:firstLine="720"/>
        <w:jc w:val="both"/>
        <w:rPr>
          <w:rFonts w:cstheme="minorHAnsi"/>
          <w:sz w:val="24"/>
          <w:szCs w:val="24"/>
        </w:rPr>
      </w:pPr>
      <w:r w:rsidRPr="0065647A">
        <w:rPr>
          <w:rFonts w:cstheme="minorHAnsi"/>
          <w:sz w:val="24"/>
          <w:szCs w:val="24"/>
        </w:rPr>
        <w:t xml:space="preserve">Can occur anywhere </w:t>
      </w:r>
    </w:p>
    <w:p w14:paraId="23938305" w14:textId="77777777" w:rsidR="00563107" w:rsidRPr="0065647A" w:rsidRDefault="00563107" w:rsidP="0065647A">
      <w:pPr>
        <w:spacing w:after="0"/>
        <w:ind w:firstLine="720"/>
        <w:jc w:val="both"/>
        <w:rPr>
          <w:rFonts w:cstheme="minorHAnsi"/>
          <w:sz w:val="24"/>
          <w:szCs w:val="24"/>
        </w:rPr>
      </w:pPr>
      <w:r w:rsidRPr="0065647A">
        <w:rPr>
          <w:rFonts w:cstheme="minorHAnsi"/>
          <w:sz w:val="24"/>
          <w:szCs w:val="24"/>
        </w:rPr>
        <w:t>Back, lower limbs, pelvis and clavicle often affected</w:t>
      </w:r>
    </w:p>
    <w:p w14:paraId="06BA35B1" w14:textId="7ED8DC4C" w:rsidR="00563107" w:rsidRPr="0065647A" w:rsidRDefault="00563107" w:rsidP="0065647A">
      <w:pPr>
        <w:spacing w:after="0"/>
        <w:ind w:firstLine="720"/>
        <w:jc w:val="both"/>
        <w:rPr>
          <w:rFonts w:cstheme="minorHAnsi"/>
          <w:sz w:val="24"/>
          <w:szCs w:val="24"/>
        </w:rPr>
      </w:pPr>
      <w:r w:rsidRPr="0065647A">
        <w:rPr>
          <w:rFonts w:cstheme="minorHAnsi"/>
          <w:sz w:val="24"/>
          <w:szCs w:val="24"/>
        </w:rPr>
        <w:t xml:space="preserve">Night pain common – need to exclude malignancy </w:t>
      </w:r>
    </w:p>
    <w:p w14:paraId="6088397B" w14:textId="77777777" w:rsidR="00563107" w:rsidRPr="0065647A" w:rsidRDefault="00563107" w:rsidP="0065647A">
      <w:pPr>
        <w:spacing w:after="0"/>
        <w:ind w:firstLine="720"/>
        <w:jc w:val="both"/>
        <w:rPr>
          <w:rFonts w:cstheme="minorHAnsi"/>
          <w:sz w:val="24"/>
          <w:szCs w:val="24"/>
        </w:rPr>
      </w:pPr>
    </w:p>
    <w:p w14:paraId="1B404397" w14:textId="77777777" w:rsidR="00563107" w:rsidRPr="0065647A" w:rsidRDefault="00563107" w:rsidP="0065647A">
      <w:pPr>
        <w:spacing w:after="0"/>
        <w:jc w:val="both"/>
        <w:rPr>
          <w:rFonts w:cstheme="minorHAnsi"/>
          <w:sz w:val="24"/>
          <w:szCs w:val="24"/>
        </w:rPr>
      </w:pPr>
      <w:r w:rsidRPr="0065647A">
        <w:rPr>
          <w:rFonts w:cstheme="minorHAnsi"/>
          <w:sz w:val="24"/>
          <w:szCs w:val="24"/>
        </w:rPr>
        <w:lastRenderedPageBreak/>
        <w:t xml:space="preserve">• Bony swelling </w:t>
      </w:r>
    </w:p>
    <w:p w14:paraId="61D7F169" w14:textId="77777777" w:rsidR="00563107" w:rsidRPr="0065647A" w:rsidRDefault="00563107" w:rsidP="0065647A">
      <w:pPr>
        <w:spacing w:after="0"/>
        <w:ind w:firstLine="720"/>
        <w:jc w:val="both"/>
        <w:rPr>
          <w:rFonts w:cstheme="minorHAnsi"/>
          <w:sz w:val="24"/>
          <w:szCs w:val="24"/>
        </w:rPr>
      </w:pPr>
      <w:r w:rsidRPr="0065647A">
        <w:rPr>
          <w:rFonts w:cstheme="minorHAnsi"/>
          <w:sz w:val="24"/>
          <w:szCs w:val="24"/>
        </w:rPr>
        <w:t>Tends to be single site</w:t>
      </w:r>
    </w:p>
    <w:p w14:paraId="62341A4C" w14:textId="77777777" w:rsidR="00563107" w:rsidRPr="0065647A" w:rsidRDefault="00563107" w:rsidP="0065647A">
      <w:pPr>
        <w:spacing w:after="0"/>
        <w:ind w:firstLine="720"/>
        <w:jc w:val="both"/>
        <w:rPr>
          <w:rFonts w:cstheme="minorHAnsi"/>
          <w:sz w:val="24"/>
          <w:szCs w:val="24"/>
        </w:rPr>
      </w:pPr>
      <w:r w:rsidRPr="0065647A">
        <w:rPr>
          <w:rFonts w:cstheme="minorHAnsi"/>
          <w:sz w:val="24"/>
          <w:szCs w:val="24"/>
        </w:rPr>
        <w:t>Can occur anywhere</w:t>
      </w:r>
    </w:p>
    <w:p w14:paraId="7D999A0E" w14:textId="77777777" w:rsidR="00563107" w:rsidRPr="0065647A" w:rsidRDefault="00563107" w:rsidP="0065647A">
      <w:pPr>
        <w:spacing w:after="0"/>
        <w:ind w:firstLine="720"/>
        <w:jc w:val="both"/>
        <w:rPr>
          <w:rFonts w:cstheme="minorHAnsi"/>
          <w:sz w:val="24"/>
          <w:szCs w:val="24"/>
        </w:rPr>
      </w:pPr>
      <w:r w:rsidRPr="0065647A">
        <w:rPr>
          <w:rFonts w:cstheme="minorHAnsi"/>
          <w:sz w:val="24"/>
          <w:szCs w:val="24"/>
        </w:rPr>
        <w:t xml:space="preserve">Clavicle, </w:t>
      </w:r>
      <w:proofErr w:type="gramStart"/>
      <w:r w:rsidRPr="0065647A">
        <w:rPr>
          <w:rFonts w:cstheme="minorHAnsi"/>
          <w:sz w:val="24"/>
          <w:szCs w:val="24"/>
        </w:rPr>
        <w:t>tibia</w:t>
      </w:r>
      <w:proofErr w:type="gramEnd"/>
      <w:r w:rsidRPr="0065647A">
        <w:rPr>
          <w:rFonts w:cstheme="minorHAnsi"/>
          <w:sz w:val="24"/>
          <w:szCs w:val="24"/>
        </w:rPr>
        <w:t xml:space="preserve"> and mandible often affected</w:t>
      </w:r>
    </w:p>
    <w:p w14:paraId="161D5880" w14:textId="77777777" w:rsidR="00563107" w:rsidRPr="0065647A" w:rsidRDefault="00563107" w:rsidP="0065647A">
      <w:pPr>
        <w:spacing w:after="0"/>
        <w:jc w:val="both"/>
        <w:rPr>
          <w:rFonts w:cstheme="minorHAnsi"/>
          <w:sz w:val="24"/>
          <w:szCs w:val="24"/>
        </w:rPr>
      </w:pPr>
    </w:p>
    <w:p w14:paraId="75CBC3C0" w14:textId="77777777" w:rsidR="00563107" w:rsidRPr="0065647A" w:rsidRDefault="00563107" w:rsidP="0065647A">
      <w:pPr>
        <w:spacing w:after="0"/>
        <w:jc w:val="both"/>
        <w:rPr>
          <w:rFonts w:cstheme="minorHAnsi"/>
          <w:sz w:val="24"/>
          <w:szCs w:val="24"/>
        </w:rPr>
      </w:pPr>
      <w:r w:rsidRPr="0065647A">
        <w:rPr>
          <w:rFonts w:cstheme="minorHAnsi"/>
          <w:sz w:val="24"/>
          <w:szCs w:val="24"/>
        </w:rPr>
        <w:t xml:space="preserve">• Associated Features </w:t>
      </w:r>
    </w:p>
    <w:p w14:paraId="79DCD1A7" w14:textId="77777777" w:rsidR="00563107" w:rsidRPr="0065647A" w:rsidRDefault="00563107" w:rsidP="0065647A">
      <w:pPr>
        <w:spacing w:after="0"/>
        <w:ind w:firstLine="720"/>
        <w:jc w:val="both"/>
        <w:rPr>
          <w:rFonts w:cstheme="minorHAnsi"/>
          <w:sz w:val="24"/>
          <w:szCs w:val="24"/>
        </w:rPr>
      </w:pPr>
      <w:r w:rsidRPr="0065647A">
        <w:rPr>
          <w:rFonts w:cstheme="minorHAnsi"/>
          <w:sz w:val="24"/>
          <w:szCs w:val="24"/>
        </w:rPr>
        <w:t xml:space="preserve">Fever - can be present, but not often – If present consider infection </w:t>
      </w:r>
    </w:p>
    <w:p w14:paraId="3F8A9AA6" w14:textId="77777777" w:rsidR="00563107" w:rsidRPr="0065647A" w:rsidRDefault="00563107" w:rsidP="0065647A">
      <w:pPr>
        <w:spacing w:after="0"/>
        <w:ind w:firstLine="720"/>
        <w:jc w:val="both"/>
        <w:rPr>
          <w:rFonts w:cstheme="minorHAnsi"/>
          <w:sz w:val="24"/>
          <w:szCs w:val="24"/>
        </w:rPr>
      </w:pPr>
      <w:r w:rsidRPr="0065647A">
        <w:rPr>
          <w:rFonts w:cstheme="minorHAnsi"/>
          <w:sz w:val="24"/>
          <w:szCs w:val="24"/>
        </w:rPr>
        <w:t>Arthritis - may be present</w:t>
      </w:r>
    </w:p>
    <w:p w14:paraId="32B5F8EE" w14:textId="77777777" w:rsidR="00563107" w:rsidRPr="0065647A" w:rsidRDefault="00563107" w:rsidP="0065647A">
      <w:pPr>
        <w:spacing w:after="0"/>
        <w:ind w:left="720"/>
        <w:jc w:val="both"/>
        <w:rPr>
          <w:rFonts w:cstheme="minorHAnsi"/>
          <w:sz w:val="24"/>
          <w:szCs w:val="24"/>
        </w:rPr>
      </w:pPr>
      <w:r w:rsidRPr="0065647A">
        <w:rPr>
          <w:rFonts w:cstheme="minorHAnsi"/>
          <w:sz w:val="24"/>
          <w:szCs w:val="24"/>
        </w:rPr>
        <w:t xml:space="preserve">Rash/Psoriasis – Look for/ask about family history (SAPHO syndrome – Synovitis, Acne, Pustulosis, Hyperostosis, Osteitis) </w:t>
      </w:r>
    </w:p>
    <w:p w14:paraId="313DFBA1" w14:textId="77777777" w:rsidR="00563107" w:rsidRPr="0065647A" w:rsidRDefault="00563107" w:rsidP="0065647A">
      <w:pPr>
        <w:spacing w:after="0"/>
        <w:jc w:val="both"/>
        <w:rPr>
          <w:rFonts w:cstheme="minorHAnsi"/>
          <w:sz w:val="24"/>
          <w:szCs w:val="24"/>
        </w:rPr>
      </w:pPr>
    </w:p>
    <w:p w14:paraId="31EB2D99" w14:textId="2A2D4F6B" w:rsidR="00563107" w:rsidRPr="0065647A" w:rsidRDefault="00563107" w:rsidP="0065647A">
      <w:pPr>
        <w:jc w:val="both"/>
        <w:rPr>
          <w:rFonts w:cstheme="minorHAnsi"/>
          <w:b/>
          <w:color w:val="00A2E5"/>
          <w:sz w:val="24"/>
          <w:szCs w:val="24"/>
        </w:rPr>
      </w:pPr>
      <w:r w:rsidRPr="0065647A">
        <w:rPr>
          <w:rFonts w:cstheme="minorHAnsi"/>
          <w:b/>
          <w:color w:val="00A2E5"/>
          <w:sz w:val="24"/>
          <w:szCs w:val="24"/>
        </w:rPr>
        <w:t>Diagnosis</w:t>
      </w:r>
    </w:p>
    <w:p w14:paraId="3D6E0A48" w14:textId="77777777" w:rsidR="00563107" w:rsidRPr="0065647A" w:rsidRDefault="00563107" w:rsidP="0065647A">
      <w:pPr>
        <w:spacing w:after="0"/>
        <w:jc w:val="both"/>
        <w:rPr>
          <w:rFonts w:cstheme="minorHAnsi"/>
          <w:sz w:val="24"/>
          <w:szCs w:val="24"/>
        </w:rPr>
      </w:pPr>
      <w:r w:rsidRPr="0065647A">
        <w:rPr>
          <w:rFonts w:cstheme="minorHAnsi"/>
          <w:sz w:val="24"/>
          <w:szCs w:val="24"/>
        </w:rPr>
        <w:t xml:space="preserve">CNO is a diagnosis of exclusion. Important exclusions include infection, </w:t>
      </w:r>
      <w:proofErr w:type="gramStart"/>
      <w:r w:rsidRPr="0065647A">
        <w:rPr>
          <w:rFonts w:cstheme="minorHAnsi"/>
          <w:sz w:val="24"/>
          <w:szCs w:val="24"/>
        </w:rPr>
        <w:t>malignancy</w:t>
      </w:r>
      <w:proofErr w:type="gramEnd"/>
      <w:r w:rsidRPr="0065647A">
        <w:rPr>
          <w:rFonts w:cstheme="minorHAnsi"/>
          <w:sz w:val="24"/>
          <w:szCs w:val="24"/>
        </w:rPr>
        <w:t xml:space="preserve"> and Langerhans Cell Histiocytosis (LCH). Diagnosis is based on a combination of clinical and radiological features; namely sterile bony inflammatory lesions affecting one or more site, where other pathologies have been excluded. Diagnostic criteria have been proposed but not yet validated. Validation of such criteria could help achieve an earlier diagnosis and avoid unnecessary investigation. </w:t>
      </w:r>
    </w:p>
    <w:p w14:paraId="608CFE4B" w14:textId="77777777" w:rsidR="00563107" w:rsidRPr="0065647A" w:rsidRDefault="00563107" w:rsidP="0065647A">
      <w:pPr>
        <w:spacing w:after="0"/>
        <w:jc w:val="both"/>
        <w:rPr>
          <w:rFonts w:cstheme="minorHAnsi"/>
          <w:sz w:val="24"/>
          <w:szCs w:val="24"/>
        </w:rPr>
      </w:pPr>
    </w:p>
    <w:p w14:paraId="1C04785D" w14:textId="54AAC9F0" w:rsidR="00563107" w:rsidRPr="0065647A" w:rsidRDefault="00563107" w:rsidP="0065647A">
      <w:pPr>
        <w:jc w:val="both"/>
        <w:rPr>
          <w:rFonts w:cstheme="minorHAnsi"/>
          <w:b/>
          <w:color w:val="00A2E5"/>
          <w:sz w:val="24"/>
          <w:szCs w:val="24"/>
        </w:rPr>
      </w:pPr>
      <w:r w:rsidRPr="0065647A">
        <w:rPr>
          <w:rFonts w:cstheme="minorHAnsi"/>
          <w:b/>
          <w:color w:val="00A2E5"/>
          <w:sz w:val="24"/>
          <w:szCs w:val="24"/>
        </w:rPr>
        <w:t>Investigations</w:t>
      </w:r>
    </w:p>
    <w:p w14:paraId="21EA7697" w14:textId="77777777" w:rsidR="00563107" w:rsidRPr="0065647A" w:rsidRDefault="00563107" w:rsidP="0065647A">
      <w:pPr>
        <w:spacing w:after="0"/>
        <w:jc w:val="both"/>
        <w:rPr>
          <w:rFonts w:cstheme="minorHAnsi"/>
          <w:sz w:val="24"/>
          <w:szCs w:val="24"/>
        </w:rPr>
      </w:pPr>
      <w:r w:rsidRPr="0065647A">
        <w:rPr>
          <w:rFonts w:cstheme="minorHAnsi"/>
          <w:sz w:val="24"/>
          <w:szCs w:val="24"/>
        </w:rPr>
        <w:t xml:space="preserve">Imaging </w:t>
      </w:r>
    </w:p>
    <w:p w14:paraId="79E9550E" w14:textId="77777777" w:rsidR="00563107" w:rsidRPr="0065647A" w:rsidRDefault="00563107" w:rsidP="0065647A">
      <w:pPr>
        <w:spacing w:after="0"/>
        <w:ind w:firstLine="720"/>
        <w:jc w:val="both"/>
        <w:rPr>
          <w:rFonts w:cstheme="minorHAnsi"/>
          <w:sz w:val="24"/>
          <w:szCs w:val="24"/>
        </w:rPr>
      </w:pPr>
      <w:r w:rsidRPr="0065647A">
        <w:rPr>
          <w:rFonts w:cstheme="minorHAnsi"/>
          <w:sz w:val="24"/>
          <w:szCs w:val="24"/>
        </w:rPr>
        <w:t xml:space="preserve">• Plain X-ray of affected site – can be normal </w:t>
      </w:r>
    </w:p>
    <w:p w14:paraId="14C014BD" w14:textId="77777777" w:rsidR="00563107" w:rsidRPr="0065647A" w:rsidRDefault="00563107" w:rsidP="0065647A">
      <w:pPr>
        <w:spacing w:after="0"/>
        <w:ind w:left="720"/>
        <w:jc w:val="both"/>
        <w:rPr>
          <w:rFonts w:cstheme="minorHAnsi"/>
          <w:sz w:val="24"/>
          <w:szCs w:val="24"/>
        </w:rPr>
      </w:pPr>
      <w:r w:rsidRPr="0065647A">
        <w:rPr>
          <w:rFonts w:cstheme="minorHAnsi"/>
          <w:sz w:val="24"/>
          <w:szCs w:val="24"/>
        </w:rPr>
        <w:t>• Localised MRI of affected site • Baseline whole body MRI at diagnosis to look for asymptomatic lesions/determine extent of disease/type of lesions (hyperostotic/</w:t>
      </w:r>
      <w:proofErr w:type="spellStart"/>
      <w:r w:rsidRPr="0065647A">
        <w:rPr>
          <w:rFonts w:cstheme="minorHAnsi"/>
          <w:sz w:val="24"/>
          <w:szCs w:val="24"/>
        </w:rPr>
        <w:t>osteitic</w:t>
      </w:r>
      <w:proofErr w:type="spellEnd"/>
      <w:r w:rsidRPr="0065647A">
        <w:rPr>
          <w:rFonts w:cstheme="minorHAnsi"/>
          <w:sz w:val="24"/>
          <w:szCs w:val="24"/>
        </w:rPr>
        <w:t xml:space="preserve">) </w:t>
      </w:r>
    </w:p>
    <w:p w14:paraId="1654082C" w14:textId="77777777" w:rsidR="00563107" w:rsidRPr="0065647A" w:rsidRDefault="00563107" w:rsidP="0065647A">
      <w:pPr>
        <w:spacing w:after="0"/>
        <w:ind w:left="720"/>
        <w:jc w:val="both"/>
        <w:rPr>
          <w:rFonts w:cstheme="minorHAnsi"/>
          <w:sz w:val="24"/>
          <w:szCs w:val="24"/>
        </w:rPr>
      </w:pPr>
      <w:r w:rsidRPr="0065647A">
        <w:rPr>
          <w:rFonts w:cstheme="minorHAnsi"/>
          <w:sz w:val="24"/>
          <w:szCs w:val="24"/>
        </w:rPr>
        <w:t>• No place for nuclear medicine bone scans</w:t>
      </w:r>
    </w:p>
    <w:p w14:paraId="544F606C" w14:textId="77777777" w:rsidR="00563107" w:rsidRPr="0065647A" w:rsidRDefault="00563107" w:rsidP="0065647A">
      <w:pPr>
        <w:spacing w:after="0"/>
        <w:jc w:val="both"/>
        <w:rPr>
          <w:rFonts w:cstheme="minorHAnsi"/>
          <w:sz w:val="24"/>
          <w:szCs w:val="24"/>
        </w:rPr>
      </w:pPr>
      <w:r w:rsidRPr="0065647A">
        <w:rPr>
          <w:rFonts w:cstheme="minorHAnsi"/>
          <w:sz w:val="24"/>
          <w:szCs w:val="24"/>
        </w:rPr>
        <w:t xml:space="preserve">Bloods (not diagnostic) </w:t>
      </w:r>
    </w:p>
    <w:p w14:paraId="315501DE" w14:textId="77777777" w:rsidR="00563107" w:rsidRPr="0065647A" w:rsidRDefault="00563107" w:rsidP="0065647A">
      <w:pPr>
        <w:spacing w:after="0"/>
        <w:ind w:firstLine="720"/>
        <w:jc w:val="both"/>
        <w:rPr>
          <w:rFonts w:cstheme="minorHAnsi"/>
          <w:sz w:val="24"/>
          <w:szCs w:val="24"/>
        </w:rPr>
      </w:pPr>
      <w:r w:rsidRPr="0065647A">
        <w:rPr>
          <w:rFonts w:cstheme="minorHAnsi"/>
          <w:sz w:val="24"/>
          <w:szCs w:val="24"/>
        </w:rPr>
        <w:t xml:space="preserve">• FBC &amp; film – To look for infection/malignancy. </w:t>
      </w:r>
    </w:p>
    <w:p w14:paraId="5BE963AD" w14:textId="77777777" w:rsidR="00563107" w:rsidRPr="0065647A" w:rsidRDefault="00563107" w:rsidP="0065647A">
      <w:pPr>
        <w:spacing w:after="0"/>
        <w:ind w:left="720"/>
        <w:jc w:val="both"/>
        <w:rPr>
          <w:rFonts w:cstheme="minorHAnsi"/>
          <w:sz w:val="24"/>
          <w:szCs w:val="24"/>
        </w:rPr>
      </w:pPr>
      <w:r w:rsidRPr="0065647A">
        <w:rPr>
          <w:rFonts w:cstheme="minorHAnsi"/>
          <w:sz w:val="24"/>
          <w:szCs w:val="24"/>
        </w:rPr>
        <w:t xml:space="preserve">• ESR &amp; CRP – To look for inflammation/infection. Beware - both may be normal or elevated. Most common finding is moderately raised ESR (10-50) with normal CRP. </w:t>
      </w:r>
    </w:p>
    <w:p w14:paraId="20C185FB" w14:textId="77777777" w:rsidR="00563107" w:rsidRPr="0065647A" w:rsidRDefault="00563107" w:rsidP="0065647A">
      <w:pPr>
        <w:spacing w:after="0"/>
        <w:ind w:left="720"/>
        <w:jc w:val="both"/>
        <w:rPr>
          <w:rFonts w:cstheme="minorHAnsi"/>
          <w:sz w:val="24"/>
          <w:szCs w:val="24"/>
        </w:rPr>
      </w:pPr>
      <w:r w:rsidRPr="0065647A">
        <w:rPr>
          <w:rFonts w:cstheme="minorHAnsi"/>
          <w:sz w:val="24"/>
          <w:szCs w:val="24"/>
        </w:rPr>
        <w:t>• Bone profile (Ca, PO</w:t>
      </w:r>
      <w:proofErr w:type="gramStart"/>
      <w:r w:rsidRPr="0065647A">
        <w:rPr>
          <w:rFonts w:cstheme="minorHAnsi"/>
          <w:sz w:val="24"/>
          <w:szCs w:val="24"/>
        </w:rPr>
        <w:t>4 ,</w:t>
      </w:r>
      <w:proofErr w:type="gramEnd"/>
      <w:r w:rsidRPr="0065647A">
        <w:rPr>
          <w:rFonts w:cstheme="minorHAnsi"/>
          <w:sz w:val="24"/>
          <w:szCs w:val="24"/>
        </w:rPr>
        <w:t xml:space="preserve"> </w:t>
      </w:r>
      <w:proofErr w:type="spellStart"/>
      <w:r w:rsidRPr="0065647A">
        <w:rPr>
          <w:rFonts w:cstheme="minorHAnsi"/>
          <w:sz w:val="24"/>
          <w:szCs w:val="24"/>
        </w:rPr>
        <w:t>alk</w:t>
      </w:r>
      <w:proofErr w:type="spellEnd"/>
      <w:r w:rsidRPr="0065647A">
        <w:rPr>
          <w:rFonts w:cstheme="minorHAnsi"/>
          <w:sz w:val="24"/>
          <w:szCs w:val="24"/>
        </w:rPr>
        <w:t xml:space="preserve"> </w:t>
      </w:r>
      <w:proofErr w:type="spellStart"/>
      <w:r w:rsidRPr="0065647A">
        <w:rPr>
          <w:rFonts w:cstheme="minorHAnsi"/>
          <w:sz w:val="24"/>
          <w:szCs w:val="24"/>
        </w:rPr>
        <w:t>phos</w:t>
      </w:r>
      <w:proofErr w:type="spellEnd"/>
      <w:r w:rsidRPr="0065647A">
        <w:rPr>
          <w:rFonts w:cstheme="minorHAnsi"/>
          <w:sz w:val="24"/>
          <w:szCs w:val="24"/>
        </w:rPr>
        <w:t xml:space="preserve">, PTH) – Often normal. Beware - A low ALP can sometimes indicate hypophosphatasia, a rare genetic condition of bones and teeth which can be misdiagnosed as CNO </w:t>
      </w:r>
    </w:p>
    <w:p w14:paraId="5A1060C4" w14:textId="77777777" w:rsidR="00563107" w:rsidRPr="0065647A" w:rsidRDefault="00563107" w:rsidP="0065647A">
      <w:pPr>
        <w:spacing w:after="0"/>
        <w:ind w:left="720"/>
        <w:jc w:val="both"/>
        <w:rPr>
          <w:rFonts w:cstheme="minorHAnsi"/>
          <w:sz w:val="24"/>
          <w:szCs w:val="24"/>
        </w:rPr>
      </w:pPr>
      <w:r w:rsidRPr="0065647A">
        <w:rPr>
          <w:rFonts w:cstheme="minorHAnsi"/>
          <w:sz w:val="24"/>
          <w:szCs w:val="24"/>
        </w:rPr>
        <w:t xml:space="preserve">• Vitamin D – Deficiency may contribute to bony pain. </w:t>
      </w:r>
    </w:p>
    <w:p w14:paraId="06E9C53A" w14:textId="77777777" w:rsidR="00563107" w:rsidRPr="0065647A" w:rsidRDefault="00563107" w:rsidP="0065647A">
      <w:pPr>
        <w:spacing w:after="0"/>
        <w:ind w:left="720"/>
        <w:jc w:val="both"/>
        <w:rPr>
          <w:rFonts w:cstheme="minorHAnsi"/>
          <w:sz w:val="24"/>
          <w:szCs w:val="24"/>
        </w:rPr>
      </w:pPr>
      <w:r w:rsidRPr="0065647A">
        <w:rPr>
          <w:rFonts w:cstheme="minorHAnsi"/>
          <w:sz w:val="24"/>
          <w:szCs w:val="24"/>
        </w:rPr>
        <w:t xml:space="preserve">• HLA B27 – Associated with SAPHO syndrome. </w:t>
      </w:r>
    </w:p>
    <w:p w14:paraId="4F2B18C0" w14:textId="77777777" w:rsidR="00563107" w:rsidRPr="0065647A" w:rsidRDefault="00563107" w:rsidP="0065647A">
      <w:pPr>
        <w:spacing w:after="0"/>
        <w:ind w:left="720"/>
        <w:jc w:val="both"/>
        <w:rPr>
          <w:rFonts w:cstheme="minorHAnsi"/>
          <w:sz w:val="24"/>
          <w:szCs w:val="24"/>
        </w:rPr>
      </w:pPr>
      <w:r w:rsidRPr="0065647A">
        <w:rPr>
          <w:rFonts w:cstheme="minorHAnsi"/>
          <w:sz w:val="24"/>
          <w:szCs w:val="24"/>
        </w:rPr>
        <w:t xml:space="preserve">• Bone Biopsy &amp; Culture - Should be done if felt necessary to exclude malignancy or infection </w:t>
      </w:r>
      <w:proofErr w:type="gramStart"/>
      <w:r w:rsidRPr="0065647A">
        <w:rPr>
          <w:rFonts w:cstheme="minorHAnsi"/>
          <w:sz w:val="24"/>
          <w:szCs w:val="24"/>
        </w:rPr>
        <w:t>e.g.</w:t>
      </w:r>
      <w:proofErr w:type="gramEnd"/>
      <w:r w:rsidRPr="0065647A">
        <w:rPr>
          <w:rFonts w:cstheme="minorHAnsi"/>
          <w:sz w:val="24"/>
          <w:szCs w:val="24"/>
        </w:rPr>
        <w:t xml:space="preserve"> atypical features, very high inflammatory markers.  The most common histopathological finding in CNO is that of chronic inflammation/osteomyelitis. Culture will be sterile in CNO.  Note – clavicular biopsies frequently result in keloid scars </w:t>
      </w:r>
    </w:p>
    <w:p w14:paraId="019A1860" w14:textId="77777777" w:rsidR="00563107" w:rsidRPr="0065647A" w:rsidRDefault="00563107" w:rsidP="0065647A">
      <w:pPr>
        <w:spacing w:after="0"/>
        <w:jc w:val="both"/>
        <w:rPr>
          <w:rFonts w:cstheme="minorHAnsi"/>
          <w:sz w:val="24"/>
          <w:szCs w:val="24"/>
        </w:rPr>
      </w:pPr>
    </w:p>
    <w:p w14:paraId="31B55E2A" w14:textId="6736D4B5" w:rsidR="00563107" w:rsidRPr="0065647A" w:rsidRDefault="00563107" w:rsidP="0065647A">
      <w:pPr>
        <w:jc w:val="both"/>
        <w:rPr>
          <w:rFonts w:cstheme="minorHAnsi"/>
          <w:b/>
          <w:color w:val="00A2E5"/>
          <w:sz w:val="24"/>
          <w:szCs w:val="24"/>
        </w:rPr>
      </w:pPr>
      <w:r w:rsidRPr="0065647A">
        <w:rPr>
          <w:rFonts w:cstheme="minorHAnsi"/>
          <w:b/>
          <w:color w:val="00A2E5"/>
          <w:sz w:val="24"/>
          <w:szCs w:val="24"/>
        </w:rPr>
        <w:lastRenderedPageBreak/>
        <w:t>Clinical Pathway</w:t>
      </w:r>
    </w:p>
    <w:p w14:paraId="103FA423" w14:textId="77777777" w:rsidR="00563107" w:rsidRPr="0065647A" w:rsidRDefault="00563107" w:rsidP="0065647A">
      <w:pPr>
        <w:spacing w:after="0"/>
        <w:jc w:val="both"/>
        <w:rPr>
          <w:rFonts w:cstheme="minorHAnsi"/>
          <w:sz w:val="24"/>
          <w:szCs w:val="24"/>
        </w:rPr>
      </w:pPr>
      <w:r w:rsidRPr="0065647A">
        <w:rPr>
          <w:rFonts w:cstheme="minorHAnsi"/>
          <w:sz w:val="24"/>
          <w:szCs w:val="24"/>
        </w:rPr>
        <w:t xml:space="preserve">All children with suspected or confirmed CNO should be referred to a Paediatric Rheumatologist for assessment, </w:t>
      </w:r>
      <w:proofErr w:type="gramStart"/>
      <w:r w:rsidRPr="0065647A">
        <w:rPr>
          <w:rFonts w:cstheme="minorHAnsi"/>
          <w:sz w:val="24"/>
          <w:szCs w:val="24"/>
        </w:rPr>
        <w:t>management</w:t>
      </w:r>
      <w:proofErr w:type="gramEnd"/>
      <w:r w:rsidRPr="0065647A">
        <w:rPr>
          <w:rFonts w:cstheme="minorHAnsi"/>
          <w:sz w:val="24"/>
          <w:szCs w:val="24"/>
        </w:rPr>
        <w:t xml:space="preserve"> and monitoring. Children with CNO may develop significant chronic pain and early, appropriate management may reduce this.</w:t>
      </w:r>
    </w:p>
    <w:p w14:paraId="3654232B" w14:textId="77777777" w:rsidR="00563107" w:rsidRPr="0065647A" w:rsidRDefault="00563107" w:rsidP="0065647A">
      <w:pPr>
        <w:spacing w:after="0"/>
        <w:jc w:val="both"/>
        <w:rPr>
          <w:rFonts w:cstheme="minorHAnsi"/>
          <w:sz w:val="24"/>
          <w:szCs w:val="24"/>
        </w:rPr>
      </w:pPr>
    </w:p>
    <w:p w14:paraId="54D60741" w14:textId="69D1A55E" w:rsidR="00563107" w:rsidRPr="0065647A" w:rsidRDefault="00563107" w:rsidP="0065647A">
      <w:pPr>
        <w:jc w:val="both"/>
        <w:rPr>
          <w:rFonts w:cstheme="minorHAnsi"/>
          <w:b/>
          <w:color w:val="00A2E5"/>
          <w:sz w:val="24"/>
          <w:szCs w:val="24"/>
        </w:rPr>
      </w:pPr>
      <w:r w:rsidRPr="0065647A">
        <w:rPr>
          <w:rFonts w:cstheme="minorHAnsi"/>
          <w:b/>
          <w:color w:val="00A2E5"/>
          <w:sz w:val="24"/>
          <w:szCs w:val="24"/>
        </w:rPr>
        <w:t>Management</w:t>
      </w:r>
    </w:p>
    <w:p w14:paraId="41A6CF90" w14:textId="67440538" w:rsidR="00EE4195" w:rsidRPr="0065647A" w:rsidRDefault="00563107" w:rsidP="0065647A">
      <w:pPr>
        <w:spacing w:after="0"/>
        <w:jc w:val="both"/>
        <w:rPr>
          <w:rFonts w:cstheme="minorHAnsi"/>
          <w:sz w:val="24"/>
          <w:szCs w:val="24"/>
        </w:rPr>
      </w:pPr>
      <w:r w:rsidRPr="0065647A">
        <w:rPr>
          <w:rFonts w:cstheme="minorHAnsi"/>
          <w:sz w:val="24"/>
          <w:szCs w:val="24"/>
        </w:rPr>
        <w:t xml:space="preserve">There is no clear evidence base regarding management of CNO and there is an absence of </w:t>
      </w:r>
      <w:r w:rsidR="00F4284A" w:rsidRPr="0065647A">
        <w:rPr>
          <w:rFonts w:cstheme="minorHAnsi"/>
          <w:sz w:val="24"/>
          <w:szCs w:val="24"/>
        </w:rPr>
        <w:t xml:space="preserve">high quality </w:t>
      </w:r>
      <w:r w:rsidRPr="0065647A">
        <w:rPr>
          <w:rFonts w:cstheme="minorHAnsi"/>
          <w:sz w:val="24"/>
          <w:szCs w:val="24"/>
        </w:rPr>
        <w:t xml:space="preserve">randomised controlled trials due to its rarity. </w:t>
      </w:r>
      <w:r w:rsidR="0051373D" w:rsidRPr="0065647A">
        <w:rPr>
          <w:rFonts w:cstheme="minorHAnsi"/>
          <w:sz w:val="24"/>
          <w:szCs w:val="24"/>
        </w:rPr>
        <w:t>In the absence of this, t</w:t>
      </w:r>
      <w:r w:rsidRPr="0065647A">
        <w:rPr>
          <w:rFonts w:cstheme="minorHAnsi"/>
          <w:sz w:val="24"/>
          <w:szCs w:val="24"/>
        </w:rPr>
        <w:t xml:space="preserve">reatment recommendations are </w:t>
      </w:r>
      <w:r w:rsidR="0051373D" w:rsidRPr="0065647A">
        <w:rPr>
          <w:rFonts w:cstheme="minorHAnsi"/>
          <w:sz w:val="24"/>
          <w:szCs w:val="24"/>
        </w:rPr>
        <w:t xml:space="preserve">often empiric and </w:t>
      </w:r>
      <w:r w:rsidRPr="0065647A">
        <w:rPr>
          <w:rFonts w:cstheme="minorHAnsi"/>
          <w:sz w:val="24"/>
          <w:szCs w:val="24"/>
        </w:rPr>
        <w:t>in the main based on consensus opinion</w:t>
      </w:r>
      <w:r w:rsidR="00F4284A" w:rsidRPr="0065647A">
        <w:rPr>
          <w:rFonts w:cstheme="minorHAnsi"/>
          <w:sz w:val="24"/>
          <w:szCs w:val="24"/>
        </w:rPr>
        <w:t xml:space="preserve"> or small retrospective case series</w:t>
      </w:r>
      <w:r w:rsidRPr="0065647A">
        <w:rPr>
          <w:rFonts w:cstheme="minorHAnsi"/>
          <w:sz w:val="24"/>
          <w:szCs w:val="24"/>
        </w:rPr>
        <w:t xml:space="preserve">.  Treatment practice varies worldwide. Treatment is given for </w:t>
      </w:r>
      <w:r w:rsidR="00B732C5" w:rsidRPr="0065647A">
        <w:rPr>
          <w:rFonts w:cstheme="minorHAnsi"/>
          <w:sz w:val="24"/>
          <w:szCs w:val="24"/>
        </w:rPr>
        <w:t>those</w:t>
      </w:r>
      <w:r w:rsidRPr="0065647A">
        <w:rPr>
          <w:rFonts w:cstheme="minorHAnsi"/>
          <w:sz w:val="24"/>
          <w:szCs w:val="24"/>
        </w:rPr>
        <w:t xml:space="preserve"> who</w:t>
      </w:r>
      <w:r w:rsidR="00B732C5" w:rsidRPr="0065647A">
        <w:rPr>
          <w:rFonts w:cstheme="minorHAnsi"/>
          <w:sz w:val="24"/>
          <w:szCs w:val="24"/>
        </w:rPr>
        <w:t xml:space="preserve"> are symptomatic or</w:t>
      </w:r>
      <w:r w:rsidRPr="0065647A">
        <w:rPr>
          <w:rFonts w:cstheme="minorHAnsi"/>
          <w:sz w:val="24"/>
          <w:szCs w:val="24"/>
        </w:rPr>
        <w:t xml:space="preserve"> have spinal lesions</w:t>
      </w:r>
      <w:r w:rsidR="00B732C5" w:rsidRPr="0065647A">
        <w:rPr>
          <w:rFonts w:cstheme="minorHAnsi"/>
          <w:sz w:val="24"/>
          <w:szCs w:val="24"/>
        </w:rPr>
        <w:t xml:space="preserve"> (due to risk of fracture)</w:t>
      </w:r>
      <w:r w:rsidRPr="0065647A">
        <w:rPr>
          <w:rFonts w:cstheme="minorHAnsi"/>
          <w:sz w:val="24"/>
          <w:szCs w:val="24"/>
        </w:rPr>
        <w:t>. Patients may have a relapsing and remitting course and should have regular clinical review 3-4 monthly to assess progress (interval can be extended in periods of quiescence).</w:t>
      </w:r>
    </w:p>
    <w:p w14:paraId="4466DD0A" w14:textId="77777777" w:rsidR="00B732C5" w:rsidRPr="0065647A" w:rsidRDefault="00B732C5" w:rsidP="0065647A">
      <w:pPr>
        <w:spacing w:after="0"/>
        <w:jc w:val="both"/>
        <w:rPr>
          <w:rFonts w:cstheme="minorHAnsi"/>
          <w:sz w:val="24"/>
          <w:szCs w:val="24"/>
        </w:rPr>
      </w:pPr>
    </w:p>
    <w:p w14:paraId="33623B9D" w14:textId="1A5966A8" w:rsidR="00B732C5" w:rsidRPr="0065647A" w:rsidRDefault="00B732C5" w:rsidP="0065647A">
      <w:pPr>
        <w:jc w:val="both"/>
        <w:rPr>
          <w:rFonts w:cstheme="minorHAnsi"/>
          <w:b/>
          <w:color w:val="00A2E5"/>
          <w:sz w:val="24"/>
          <w:szCs w:val="24"/>
        </w:rPr>
      </w:pPr>
      <w:r w:rsidRPr="0065647A">
        <w:rPr>
          <w:rFonts w:cstheme="minorHAnsi"/>
          <w:b/>
          <w:color w:val="00A2E5"/>
          <w:sz w:val="24"/>
          <w:szCs w:val="24"/>
        </w:rPr>
        <w:t xml:space="preserve">Treatment Options </w:t>
      </w:r>
    </w:p>
    <w:p w14:paraId="3FF30DB0" w14:textId="7498E74F" w:rsidR="00B732C5" w:rsidRPr="0065647A" w:rsidRDefault="00B732C5" w:rsidP="0065647A">
      <w:pPr>
        <w:spacing w:after="0"/>
        <w:jc w:val="both"/>
        <w:rPr>
          <w:rFonts w:cstheme="minorHAnsi"/>
          <w:sz w:val="24"/>
          <w:szCs w:val="24"/>
        </w:rPr>
      </w:pPr>
      <w:r w:rsidRPr="0065647A">
        <w:rPr>
          <w:rFonts w:cstheme="minorHAnsi"/>
          <w:sz w:val="24"/>
          <w:szCs w:val="24"/>
        </w:rPr>
        <w:t xml:space="preserve">In 2018, CARRA published Consensus Treatment Plans for children with CNO who </w:t>
      </w:r>
      <w:proofErr w:type="gramStart"/>
      <w:r w:rsidRPr="0065647A">
        <w:rPr>
          <w:rFonts w:cstheme="minorHAnsi"/>
          <w:sz w:val="24"/>
          <w:szCs w:val="24"/>
        </w:rPr>
        <w:t>were refractory to NSAIDs</w:t>
      </w:r>
      <w:proofErr w:type="gramEnd"/>
      <w:r w:rsidRPr="0065647A">
        <w:rPr>
          <w:rFonts w:cstheme="minorHAnsi"/>
          <w:sz w:val="24"/>
          <w:szCs w:val="24"/>
        </w:rPr>
        <w:t xml:space="preserve"> or had active spinal lesions</w:t>
      </w:r>
      <w:r w:rsidRPr="0065647A">
        <w:rPr>
          <w:rFonts w:cstheme="minorHAnsi"/>
          <w:sz w:val="24"/>
          <w:szCs w:val="24"/>
          <w:vertAlign w:val="superscript"/>
        </w:rPr>
        <w:t>1</w:t>
      </w:r>
      <w:r w:rsidRPr="0065647A">
        <w:rPr>
          <w:rFonts w:cstheme="minorHAnsi"/>
          <w:sz w:val="24"/>
          <w:szCs w:val="24"/>
        </w:rPr>
        <w:t xml:space="preserve"> (below).</w:t>
      </w:r>
      <w:r w:rsidR="005021F8" w:rsidRPr="0065647A">
        <w:rPr>
          <w:rFonts w:cstheme="minorHAnsi"/>
          <w:sz w:val="24"/>
          <w:szCs w:val="24"/>
        </w:rPr>
        <w:t xml:space="preserve">  </w:t>
      </w:r>
      <w:r w:rsidR="005021F8" w:rsidRPr="0065647A">
        <w:rPr>
          <w:rFonts w:cstheme="minorHAnsi"/>
          <w:color w:val="212121"/>
          <w:sz w:val="24"/>
          <w:szCs w:val="24"/>
          <w:shd w:val="clear" w:color="auto" w:fill="FFFFFF"/>
        </w:rPr>
        <w:t> These were based on a survey sent to members of CARRA, 95% of treating physicians</w:t>
      </w:r>
      <w:r w:rsidR="00681BCD" w:rsidRPr="0065647A">
        <w:rPr>
          <w:rFonts w:cstheme="minorHAnsi"/>
          <w:color w:val="212121"/>
          <w:sz w:val="24"/>
          <w:szCs w:val="24"/>
          <w:shd w:val="clear" w:color="auto" w:fill="FFFFFF"/>
        </w:rPr>
        <w:t xml:space="preserve"> who</w:t>
      </w:r>
      <w:r w:rsidR="005021F8" w:rsidRPr="0065647A">
        <w:rPr>
          <w:rFonts w:cstheme="minorHAnsi"/>
          <w:color w:val="212121"/>
          <w:sz w:val="24"/>
          <w:szCs w:val="24"/>
          <w:shd w:val="clear" w:color="auto" w:fill="FFFFFF"/>
        </w:rPr>
        <w:t xml:space="preserve"> responded (41% response rate) use NSAIDs as first-line treatment in children with a new diagnosis of CNO (</w:t>
      </w:r>
      <w:hyperlink r:id="rId7" w:anchor="R24" w:history="1">
        <w:r w:rsidR="005021F8" w:rsidRPr="0065647A">
          <w:rPr>
            <w:rStyle w:val="Hyperlink"/>
            <w:rFonts w:cstheme="minorHAnsi"/>
            <w:color w:val="376FAA"/>
            <w:sz w:val="24"/>
            <w:szCs w:val="24"/>
            <w:shd w:val="clear" w:color="auto" w:fill="FFFFFF"/>
          </w:rPr>
          <w:t>24</w:t>
        </w:r>
      </w:hyperlink>
      <w:r w:rsidR="005021F8" w:rsidRPr="0065647A">
        <w:rPr>
          <w:rFonts w:cstheme="minorHAnsi"/>
          <w:color w:val="212121"/>
          <w:sz w:val="24"/>
          <w:szCs w:val="24"/>
          <w:shd w:val="clear" w:color="auto" w:fill="FFFFFF"/>
        </w:rPr>
        <w:t xml:space="preserve">). For patients who failed NSAID treatment, the most commonly used treatments were reported as methotrexate (67%), </w:t>
      </w:r>
      <w:proofErr w:type="spellStart"/>
      <w:r w:rsidR="005021F8" w:rsidRPr="0065647A">
        <w:rPr>
          <w:rFonts w:cstheme="minorHAnsi"/>
          <w:color w:val="212121"/>
          <w:sz w:val="24"/>
          <w:szCs w:val="24"/>
          <w:shd w:val="clear" w:color="auto" w:fill="FFFFFF"/>
        </w:rPr>
        <w:t>TNFi</w:t>
      </w:r>
      <w:proofErr w:type="spellEnd"/>
      <w:r w:rsidR="005021F8" w:rsidRPr="0065647A">
        <w:rPr>
          <w:rFonts w:cstheme="minorHAnsi"/>
          <w:color w:val="212121"/>
          <w:sz w:val="24"/>
          <w:szCs w:val="24"/>
          <w:shd w:val="clear" w:color="auto" w:fill="FFFFFF"/>
        </w:rPr>
        <w:t xml:space="preserve"> (65%), and bisphosphonates (46%) (</w:t>
      </w:r>
      <w:hyperlink r:id="rId8" w:anchor="R24" w:history="1">
        <w:r w:rsidR="005021F8" w:rsidRPr="0065647A">
          <w:rPr>
            <w:rStyle w:val="Hyperlink"/>
            <w:rFonts w:cstheme="minorHAnsi"/>
            <w:color w:val="376FAA"/>
            <w:sz w:val="24"/>
            <w:szCs w:val="24"/>
            <w:shd w:val="clear" w:color="auto" w:fill="FFFFFF"/>
          </w:rPr>
          <w:t>24</w:t>
        </w:r>
      </w:hyperlink>
      <w:r w:rsidR="005021F8" w:rsidRPr="0065647A">
        <w:rPr>
          <w:rFonts w:cstheme="minorHAnsi"/>
          <w:color w:val="212121"/>
          <w:sz w:val="24"/>
          <w:szCs w:val="24"/>
          <w:shd w:val="clear" w:color="auto" w:fill="FFFFFF"/>
        </w:rPr>
        <w:t>). These results guided the development of consensus treatment plans (CTPs).</w:t>
      </w:r>
    </w:p>
    <w:p w14:paraId="41CFA080" w14:textId="554D19F4" w:rsidR="00B732C5" w:rsidRPr="0065647A" w:rsidRDefault="00B732C5" w:rsidP="0065647A">
      <w:pPr>
        <w:spacing w:after="0"/>
        <w:jc w:val="both"/>
        <w:rPr>
          <w:rFonts w:cstheme="minorHAnsi"/>
          <w:sz w:val="24"/>
          <w:szCs w:val="24"/>
        </w:rPr>
      </w:pPr>
    </w:p>
    <w:p w14:paraId="09E97C1D" w14:textId="54BB8A49" w:rsidR="00B732C5" w:rsidRPr="0065647A" w:rsidRDefault="00B732C5" w:rsidP="0065647A">
      <w:pPr>
        <w:spacing w:after="0"/>
        <w:jc w:val="both"/>
        <w:rPr>
          <w:rFonts w:cstheme="minorHAnsi"/>
          <w:sz w:val="24"/>
          <w:szCs w:val="24"/>
        </w:rPr>
      </w:pPr>
      <w:r w:rsidRPr="0065647A">
        <w:rPr>
          <w:rFonts w:cstheme="minorHAnsi"/>
          <w:noProof/>
          <w:sz w:val="24"/>
          <w:szCs w:val="24"/>
          <w:lang w:eastAsia="en-GB"/>
        </w:rPr>
        <w:lastRenderedPageBreak/>
        <w:drawing>
          <wp:inline distT="0" distB="0" distL="0" distR="0" wp14:anchorId="39B4F9C5" wp14:editId="2822E347">
            <wp:extent cx="5911850" cy="46100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289" t="20681" r="41946" b="20033"/>
                    <a:stretch/>
                  </pic:blipFill>
                  <pic:spPr bwMode="auto">
                    <a:xfrm>
                      <a:off x="0" y="0"/>
                      <a:ext cx="5916724" cy="4613818"/>
                    </a:xfrm>
                    <a:prstGeom prst="rect">
                      <a:avLst/>
                    </a:prstGeom>
                    <a:ln>
                      <a:noFill/>
                    </a:ln>
                    <a:extLst>
                      <a:ext uri="{53640926-AAD7-44D8-BBD7-CCE9431645EC}">
                        <a14:shadowObscured xmlns:a14="http://schemas.microsoft.com/office/drawing/2010/main"/>
                      </a:ext>
                    </a:extLst>
                  </pic:spPr>
                </pic:pic>
              </a:graphicData>
            </a:graphic>
          </wp:inline>
        </w:drawing>
      </w:r>
    </w:p>
    <w:p w14:paraId="2154D03D" w14:textId="4DC57918" w:rsidR="00B732C5" w:rsidRPr="0065647A" w:rsidRDefault="00B732C5" w:rsidP="0065647A">
      <w:pPr>
        <w:spacing w:after="0"/>
        <w:jc w:val="both"/>
        <w:rPr>
          <w:rFonts w:cstheme="minorHAnsi"/>
          <w:sz w:val="24"/>
          <w:szCs w:val="24"/>
        </w:rPr>
      </w:pPr>
    </w:p>
    <w:p w14:paraId="2BC36BC1" w14:textId="0309A362" w:rsidR="00B732C5" w:rsidRPr="0065647A" w:rsidRDefault="00B732C5" w:rsidP="0065647A">
      <w:pPr>
        <w:spacing w:after="0"/>
        <w:jc w:val="both"/>
        <w:rPr>
          <w:rFonts w:cstheme="minorHAnsi"/>
          <w:sz w:val="24"/>
          <w:szCs w:val="24"/>
        </w:rPr>
      </w:pPr>
    </w:p>
    <w:p w14:paraId="23CD9908" w14:textId="217484C1" w:rsidR="00B732C5" w:rsidRPr="0065647A" w:rsidRDefault="00B732C5" w:rsidP="0065647A">
      <w:pPr>
        <w:spacing w:after="0"/>
        <w:jc w:val="both"/>
        <w:rPr>
          <w:rFonts w:cstheme="minorHAnsi"/>
          <w:sz w:val="24"/>
          <w:szCs w:val="24"/>
        </w:rPr>
      </w:pPr>
    </w:p>
    <w:p w14:paraId="0E15971D" w14:textId="5D4F5AC7" w:rsidR="00B732C5" w:rsidRPr="0065647A" w:rsidRDefault="00B732C5" w:rsidP="0065647A">
      <w:pPr>
        <w:spacing w:after="0"/>
        <w:jc w:val="both"/>
        <w:rPr>
          <w:rFonts w:cstheme="minorHAnsi"/>
          <w:sz w:val="24"/>
          <w:szCs w:val="24"/>
        </w:rPr>
      </w:pPr>
      <w:r w:rsidRPr="0065647A">
        <w:rPr>
          <w:rFonts w:cstheme="minorHAnsi"/>
          <w:sz w:val="24"/>
          <w:szCs w:val="24"/>
        </w:rPr>
        <w:t>Each of these treatment options will be discussed in turn with evidence base.</w:t>
      </w:r>
    </w:p>
    <w:p w14:paraId="22525A4C" w14:textId="0B9009DB" w:rsidR="00B732C5" w:rsidRPr="0065647A" w:rsidRDefault="00B732C5" w:rsidP="0065647A">
      <w:pPr>
        <w:spacing w:after="0"/>
        <w:jc w:val="both"/>
        <w:rPr>
          <w:rFonts w:cstheme="minorHAnsi"/>
          <w:sz w:val="24"/>
          <w:szCs w:val="24"/>
        </w:rPr>
      </w:pPr>
    </w:p>
    <w:p w14:paraId="5C9BDDC1" w14:textId="77777777" w:rsidR="00AC0BE0" w:rsidRPr="0065647A" w:rsidRDefault="00AC0BE0" w:rsidP="0065647A">
      <w:pPr>
        <w:spacing w:after="0"/>
        <w:jc w:val="both"/>
        <w:rPr>
          <w:rFonts w:cstheme="minorHAnsi"/>
          <w:sz w:val="24"/>
          <w:szCs w:val="24"/>
        </w:rPr>
      </w:pPr>
    </w:p>
    <w:p w14:paraId="62970D27" w14:textId="77777777" w:rsidR="00AC0BE0" w:rsidRPr="0065647A" w:rsidRDefault="00AC0BE0" w:rsidP="0065647A">
      <w:pPr>
        <w:jc w:val="both"/>
        <w:rPr>
          <w:rFonts w:cstheme="minorHAnsi"/>
          <w:b/>
          <w:color w:val="00A2E5"/>
          <w:sz w:val="24"/>
          <w:szCs w:val="24"/>
        </w:rPr>
      </w:pPr>
      <w:r w:rsidRPr="0065647A">
        <w:rPr>
          <w:rFonts w:cstheme="minorHAnsi"/>
          <w:b/>
          <w:color w:val="00A2E5"/>
          <w:sz w:val="24"/>
          <w:szCs w:val="24"/>
        </w:rPr>
        <w:t>NSAIDS</w:t>
      </w:r>
    </w:p>
    <w:p w14:paraId="57E07B6A" w14:textId="77777777" w:rsidR="00AC0BE0" w:rsidRPr="0065647A" w:rsidRDefault="00AC0BE0" w:rsidP="0065647A">
      <w:pPr>
        <w:spacing w:after="0"/>
        <w:jc w:val="both"/>
        <w:rPr>
          <w:rFonts w:cstheme="minorHAnsi"/>
          <w:sz w:val="24"/>
          <w:szCs w:val="24"/>
        </w:rPr>
      </w:pPr>
      <w:r w:rsidRPr="0065647A">
        <w:rPr>
          <w:rFonts w:cstheme="minorHAnsi"/>
          <w:sz w:val="24"/>
          <w:szCs w:val="24"/>
        </w:rPr>
        <w:t>Available Evidence:</w:t>
      </w:r>
    </w:p>
    <w:p w14:paraId="59EB8113" w14:textId="436BB5AD" w:rsidR="00AC0BE0" w:rsidRPr="0065647A" w:rsidRDefault="00AC0BE0" w:rsidP="0065647A">
      <w:pPr>
        <w:spacing w:after="0"/>
        <w:jc w:val="both"/>
        <w:rPr>
          <w:rFonts w:cstheme="minorHAnsi"/>
          <w:color w:val="333333"/>
          <w:sz w:val="24"/>
          <w:szCs w:val="24"/>
          <w:shd w:val="clear" w:color="auto" w:fill="FFFFFF"/>
        </w:rPr>
      </w:pPr>
      <w:r w:rsidRPr="0065647A">
        <w:rPr>
          <w:rFonts w:cstheme="minorHAnsi"/>
          <w:sz w:val="24"/>
          <w:szCs w:val="24"/>
        </w:rPr>
        <w:t>A prospective study of 37 children with CNO on naproxen found 43% of them to be symptom free at 6-months</w:t>
      </w:r>
      <w:r w:rsidRPr="0065647A">
        <w:rPr>
          <w:rFonts w:cstheme="minorHAnsi"/>
          <w:sz w:val="24"/>
          <w:szCs w:val="24"/>
          <w:vertAlign w:val="superscript"/>
        </w:rPr>
        <w:t>2</w:t>
      </w:r>
      <w:r w:rsidRPr="0065647A">
        <w:rPr>
          <w:rFonts w:cstheme="minorHAnsi"/>
          <w:sz w:val="24"/>
          <w:szCs w:val="24"/>
        </w:rPr>
        <w:t xml:space="preserve">.  </w:t>
      </w:r>
      <w:r w:rsidRPr="0065647A">
        <w:rPr>
          <w:rFonts w:cstheme="minorHAnsi"/>
          <w:color w:val="333333"/>
          <w:sz w:val="24"/>
          <w:szCs w:val="24"/>
          <w:shd w:val="clear" w:color="auto" w:fill="FFFFFF"/>
        </w:rPr>
        <w:t>Mean disease activity estimated by the patient/physician and the physical aspect of health-related quality of life including functional ability (global assessment/childhood health assessment questionnaire and childhood health assessment questionnaire) and pain improved significantly. Forty-one percent of our patients showed radiological relapses, but 67% of them were clinically silent.</w:t>
      </w:r>
    </w:p>
    <w:p w14:paraId="162575B5" w14:textId="6CA6D983" w:rsidR="00776059" w:rsidRPr="0065647A" w:rsidRDefault="000B0587" w:rsidP="0065647A">
      <w:pPr>
        <w:spacing w:after="0"/>
        <w:jc w:val="both"/>
        <w:rPr>
          <w:rFonts w:cstheme="minorHAnsi"/>
          <w:sz w:val="24"/>
          <w:szCs w:val="24"/>
        </w:rPr>
      </w:pPr>
      <w:r w:rsidRPr="0065647A">
        <w:rPr>
          <w:rFonts w:cstheme="minorHAnsi"/>
          <w:color w:val="333333"/>
          <w:sz w:val="24"/>
          <w:szCs w:val="24"/>
          <w:shd w:val="clear" w:color="auto" w:fill="FFFFFF"/>
        </w:rPr>
        <w:t>A retrospective c</w:t>
      </w:r>
      <w:r w:rsidR="00776059" w:rsidRPr="0065647A">
        <w:rPr>
          <w:rFonts w:cstheme="minorHAnsi"/>
          <w:color w:val="333333"/>
          <w:sz w:val="24"/>
          <w:szCs w:val="24"/>
          <w:shd w:val="clear" w:color="auto" w:fill="FFFFFF"/>
        </w:rPr>
        <w:t>ase series</w:t>
      </w:r>
      <w:r w:rsidRPr="0065647A">
        <w:rPr>
          <w:rFonts w:cstheme="minorHAnsi"/>
          <w:color w:val="333333"/>
          <w:sz w:val="24"/>
          <w:szCs w:val="24"/>
          <w:shd w:val="clear" w:color="auto" w:fill="FFFFFF"/>
        </w:rPr>
        <w:t xml:space="preserve"> including 56 patients</w:t>
      </w:r>
      <w:r w:rsidR="00776059" w:rsidRPr="0065647A">
        <w:rPr>
          <w:rFonts w:cstheme="minorHAnsi"/>
          <w:color w:val="333333"/>
          <w:sz w:val="24"/>
          <w:szCs w:val="24"/>
          <w:shd w:val="clear" w:color="auto" w:fill="FFFFFF"/>
        </w:rPr>
        <w:t xml:space="preserve"> suggest</w:t>
      </w:r>
      <w:r w:rsidRPr="0065647A">
        <w:rPr>
          <w:rFonts w:cstheme="minorHAnsi"/>
          <w:color w:val="333333"/>
          <w:sz w:val="24"/>
          <w:szCs w:val="24"/>
          <w:shd w:val="clear" w:color="auto" w:fill="FFFFFF"/>
        </w:rPr>
        <w:t xml:space="preserve">ed </w:t>
      </w:r>
      <w:r w:rsidR="00776059" w:rsidRPr="0065647A">
        <w:rPr>
          <w:rFonts w:cstheme="minorHAnsi"/>
          <w:sz w:val="24"/>
          <w:szCs w:val="24"/>
        </w:rPr>
        <w:t>NSAIDs work in</w:t>
      </w:r>
      <w:r w:rsidRPr="0065647A">
        <w:rPr>
          <w:rFonts w:cstheme="minorHAnsi"/>
          <w:sz w:val="24"/>
          <w:szCs w:val="24"/>
        </w:rPr>
        <w:t xml:space="preserve"> </w:t>
      </w:r>
      <w:proofErr w:type="gramStart"/>
      <w:r w:rsidRPr="0065647A">
        <w:rPr>
          <w:rFonts w:cstheme="minorHAnsi"/>
          <w:sz w:val="24"/>
          <w:szCs w:val="24"/>
        </w:rPr>
        <w:t>the</w:t>
      </w:r>
      <w:r w:rsidR="00776059" w:rsidRPr="0065647A">
        <w:rPr>
          <w:rFonts w:cstheme="minorHAnsi"/>
          <w:sz w:val="24"/>
          <w:szCs w:val="24"/>
        </w:rPr>
        <w:t xml:space="preserve"> majority of</w:t>
      </w:r>
      <w:proofErr w:type="gramEnd"/>
      <w:r w:rsidR="00776059" w:rsidRPr="0065647A">
        <w:rPr>
          <w:rFonts w:cstheme="minorHAnsi"/>
          <w:sz w:val="24"/>
          <w:szCs w:val="24"/>
        </w:rPr>
        <w:t xml:space="preserve"> patients (2/3), </w:t>
      </w:r>
      <w:r w:rsidRPr="0065647A">
        <w:rPr>
          <w:rFonts w:cstheme="minorHAnsi"/>
          <w:sz w:val="24"/>
          <w:szCs w:val="24"/>
        </w:rPr>
        <w:t xml:space="preserve">but there was </w:t>
      </w:r>
      <w:r w:rsidR="00776059" w:rsidRPr="0065647A">
        <w:rPr>
          <w:rFonts w:cstheme="minorHAnsi"/>
          <w:sz w:val="24"/>
          <w:szCs w:val="24"/>
        </w:rPr>
        <w:t>&gt; 50% failure after 2-3 years</w:t>
      </w:r>
      <w:r w:rsidRPr="0065647A">
        <w:rPr>
          <w:rFonts w:cstheme="minorHAnsi"/>
          <w:sz w:val="24"/>
          <w:szCs w:val="24"/>
          <w:vertAlign w:val="superscript"/>
        </w:rPr>
        <w:t>7.</w:t>
      </w:r>
    </w:p>
    <w:p w14:paraId="3AC3A180" w14:textId="77777777" w:rsidR="00AC0BE0" w:rsidRPr="0065647A" w:rsidRDefault="00AC0BE0" w:rsidP="0065647A">
      <w:pPr>
        <w:spacing w:after="0"/>
        <w:jc w:val="both"/>
        <w:rPr>
          <w:rFonts w:cstheme="minorHAnsi"/>
          <w:sz w:val="24"/>
          <w:szCs w:val="24"/>
        </w:rPr>
      </w:pPr>
    </w:p>
    <w:p w14:paraId="7E177F0B" w14:textId="77777777" w:rsidR="00AC0BE0" w:rsidRPr="0065647A" w:rsidRDefault="00AC0BE0" w:rsidP="0065647A">
      <w:pPr>
        <w:spacing w:after="0"/>
        <w:jc w:val="both"/>
        <w:rPr>
          <w:rFonts w:cstheme="minorHAnsi"/>
          <w:sz w:val="24"/>
          <w:szCs w:val="24"/>
        </w:rPr>
      </w:pPr>
      <w:r w:rsidRPr="0065647A">
        <w:rPr>
          <w:rFonts w:cstheme="minorHAnsi"/>
          <w:sz w:val="24"/>
          <w:szCs w:val="24"/>
        </w:rPr>
        <w:t>Recommendation:</w:t>
      </w:r>
    </w:p>
    <w:p w14:paraId="6671B724" w14:textId="77777777" w:rsidR="00AC0BE0" w:rsidRPr="0065647A" w:rsidRDefault="00AC0BE0" w:rsidP="0065647A">
      <w:pPr>
        <w:spacing w:after="0"/>
        <w:jc w:val="both"/>
        <w:rPr>
          <w:rFonts w:cstheme="minorHAnsi"/>
          <w:b/>
          <w:bCs/>
          <w:sz w:val="24"/>
          <w:szCs w:val="24"/>
        </w:rPr>
      </w:pPr>
      <w:r w:rsidRPr="0065647A">
        <w:rPr>
          <w:rFonts w:cstheme="minorHAnsi"/>
          <w:sz w:val="24"/>
          <w:szCs w:val="24"/>
        </w:rPr>
        <w:lastRenderedPageBreak/>
        <w:t xml:space="preserve">Non-steroidal anti-inflammatory drugs (NSAIDS) should be the first step in patients </w:t>
      </w:r>
      <w:r w:rsidRPr="0065647A">
        <w:rPr>
          <w:rFonts w:cstheme="minorHAnsi"/>
          <w:b/>
          <w:bCs/>
          <w:sz w:val="24"/>
          <w:szCs w:val="24"/>
        </w:rPr>
        <w:t>without spinal involvement.</w:t>
      </w:r>
    </w:p>
    <w:p w14:paraId="338BBA85" w14:textId="77777777" w:rsidR="00AC0BE0" w:rsidRPr="0065647A" w:rsidRDefault="00AC0BE0" w:rsidP="0065647A">
      <w:pPr>
        <w:spacing w:after="0"/>
        <w:jc w:val="both"/>
        <w:rPr>
          <w:rFonts w:cstheme="minorHAnsi"/>
          <w:sz w:val="24"/>
          <w:szCs w:val="24"/>
        </w:rPr>
      </w:pPr>
      <w:r w:rsidRPr="0065647A">
        <w:rPr>
          <w:rFonts w:cstheme="minorHAnsi"/>
          <w:sz w:val="24"/>
          <w:szCs w:val="24"/>
        </w:rPr>
        <w:t>High-dose Ibuprofen or Naproxen as per Children’s BNF can be given with gastroprotection.</w:t>
      </w:r>
    </w:p>
    <w:p w14:paraId="127F3D03" w14:textId="77777777" w:rsidR="00AC0BE0" w:rsidRPr="0065647A" w:rsidRDefault="00AC0BE0" w:rsidP="0065647A">
      <w:pPr>
        <w:spacing w:after="0"/>
        <w:jc w:val="both"/>
        <w:rPr>
          <w:rFonts w:cstheme="minorHAnsi"/>
          <w:sz w:val="24"/>
          <w:szCs w:val="24"/>
        </w:rPr>
      </w:pPr>
      <w:r w:rsidRPr="0065647A">
        <w:rPr>
          <w:rFonts w:cstheme="minorHAnsi"/>
          <w:sz w:val="24"/>
          <w:szCs w:val="24"/>
        </w:rPr>
        <w:t>Suggest give 3 months of treatment and assess response (clinically +- radiologically at clinician’s discretion)</w:t>
      </w:r>
    </w:p>
    <w:p w14:paraId="36545483" w14:textId="77777777" w:rsidR="00AC0BE0" w:rsidRPr="0065647A" w:rsidRDefault="00AC0BE0" w:rsidP="0065647A">
      <w:pPr>
        <w:spacing w:after="0"/>
        <w:jc w:val="both"/>
        <w:rPr>
          <w:rFonts w:cstheme="minorHAnsi"/>
          <w:sz w:val="24"/>
          <w:szCs w:val="24"/>
        </w:rPr>
      </w:pPr>
      <w:r w:rsidRPr="0065647A">
        <w:rPr>
          <w:rFonts w:cstheme="minorHAnsi"/>
          <w:sz w:val="24"/>
          <w:szCs w:val="24"/>
        </w:rPr>
        <w:t>Good response to NSAIDS – observe and review.</w:t>
      </w:r>
    </w:p>
    <w:p w14:paraId="5C3AF6D0" w14:textId="77777777" w:rsidR="00AC0BE0" w:rsidRPr="0065647A" w:rsidRDefault="00AC0BE0" w:rsidP="0065647A">
      <w:pPr>
        <w:spacing w:after="0"/>
        <w:jc w:val="both"/>
        <w:rPr>
          <w:rFonts w:cstheme="minorHAnsi"/>
          <w:sz w:val="24"/>
          <w:szCs w:val="24"/>
        </w:rPr>
      </w:pPr>
      <w:r w:rsidRPr="0065647A">
        <w:rPr>
          <w:rFonts w:cstheme="minorHAnsi"/>
          <w:sz w:val="24"/>
          <w:szCs w:val="24"/>
        </w:rPr>
        <w:t>Poor response to NSAIDs or spinal involvement – consider change of treatment.</w:t>
      </w:r>
    </w:p>
    <w:p w14:paraId="2FD6C04C" w14:textId="1D706FC2" w:rsidR="00AC0BE0" w:rsidRPr="0065647A" w:rsidRDefault="00AC0BE0" w:rsidP="0065647A">
      <w:pPr>
        <w:spacing w:after="0"/>
        <w:jc w:val="both"/>
        <w:rPr>
          <w:rFonts w:cstheme="minorHAnsi"/>
          <w:sz w:val="24"/>
          <w:szCs w:val="24"/>
        </w:rPr>
      </w:pPr>
    </w:p>
    <w:p w14:paraId="1FA799DB" w14:textId="13E42DD8" w:rsidR="00AC0BE0" w:rsidRPr="0065647A" w:rsidRDefault="00AC0BE0" w:rsidP="0065647A">
      <w:pPr>
        <w:jc w:val="both"/>
        <w:rPr>
          <w:rFonts w:cstheme="minorHAnsi"/>
          <w:b/>
          <w:color w:val="00A2E5"/>
          <w:sz w:val="24"/>
          <w:szCs w:val="24"/>
        </w:rPr>
      </w:pPr>
      <w:r w:rsidRPr="0065647A">
        <w:rPr>
          <w:rFonts w:cstheme="minorHAnsi"/>
          <w:b/>
          <w:color w:val="00A2E5"/>
          <w:sz w:val="24"/>
          <w:szCs w:val="24"/>
        </w:rPr>
        <w:t>DMARDS</w:t>
      </w:r>
    </w:p>
    <w:p w14:paraId="33BF761C" w14:textId="69C3BB02" w:rsidR="00AC0BE0" w:rsidRPr="0065647A" w:rsidRDefault="00AC0BE0" w:rsidP="0065647A">
      <w:pPr>
        <w:jc w:val="both"/>
        <w:rPr>
          <w:rFonts w:cstheme="minorHAnsi"/>
          <w:b/>
          <w:color w:val="00A2E5"/>
          <w:sz w:val="24"/>
          <w:szCs w:val="24"/>
        </w:rPr>
      </w:pPr>
      <w:r w:rsidRPr="0065647A">
        <w:rPr>
          <w:rFonts w:cstheme="minorHAnsi"/>
          <w:b/>
          <w:color w:val="00A2E5"/>
          <w:sz w:val="24"/>
          <w:szCs w:val="24"/>
        </w:rPr>
        <w:t>Methotrexate</w:t>
      </w:r>
      <w:r w:rsidR="00150371" w:rsidRPr="0065647A">
        <w:rPr>
          <w:rFonts w:cstheme="minorHAnsi"/>
          <w:b/>
          <w:color w:val="00A2E5"/>
          <w:sz w:val="24"/>
          <w:szCs w:val="24"/>
        </w:rPr>
        <w:t xml:space="preserve"> and Sulfasalazine</w:t>
      </w:r>
    </w:p>
    <w:p w14:paraId="42E0B999" w14:textId="77777777" w:rsidR="0066453A" w:rsidRPr="0065647A" w:rsidRDefault="0066453A" w:rsidP="0065647A">
      <w:pPr>
        <w:jc w:val="both"/>
        <w:rPr>
          <w:rFonts w:cstheme="minorHAnsi"/>
          <w:sz w:val="24"/>
          <w:szCs w:val="24"/>
        </w:rPr>
      </w:pPr>
      <w:r w:rsidRPr="0065647A">
        <w:rPr>
          <w:rFonts w:cstheme="minorHAnsi"/>
          <w:sz w:val="24"/>
          <w:szCs w:val="24"/>
        </w:rPr>
        <w:t>Evidence:</w:t>
      </w:r>
    </w:p>
    <w:p w14:paraId="35D26DC2" w14:textId="00E6BE26" w:rsidR="0066453A" w:rsidRPr="0065647A" w:rsidRDefault="00177447" w:rsidP="0065647A">
      <w:pPr>
        <w:jc w:val="both"/>
        <w:rPr>
          <w:rFonts w:cstheme="minorHAnsi"/>
          <w:sz w:val="24"/>
          <w:szCs w:val="24"/>
        </w:rPr>
      </w:pPr>
      <w:r w:rsidRPr="0065647A">
        <w:rPr>
          <w:rFonts w:cstheme="minorHAnsi"/>
          <w:sz w:val="24"/>
          <w:szCs w:val="24"/>
        </w:rPr>
        <w:t xml:space="preserve">There are </w:t>
      </w:r>
      <w:r w:rsidR="0066453A" w:rsidRPr="0065647A">
        <w:rPr>
          <w:rFonts w:cstheme="minorHAnsi"/>
          <w:sz w:val="24"/>
          <w:szCs w:val="24"/>
        </w:rPr>
        <w:t xml:space="preserve">a </w:t>
      </w:r>
      <w:r w:rsidRPr="0065647A">
        <w:rPr>
          <w:rFonts w:cstheme="minorHAnsi"/>
          <w:sz w:val="24"/>
          <w:szCs w:val="24"/>
        </w:rPr>
        <w:t>few</w:t>
      </w:r>
      <w:r w:rsidR="0066453A" w:rsidRPr="0065647A">
        <w:rPr>
          <w:rFonts w:cstheme="minorHAnsi"/>
          <w:sz w:val="24"/>
          <w:szCs w:val="24"/>
        </w:rPr>
        <w:t xml:space="preserve"> small</w:t>
      </w:r>
      <w:r w:rsidRPr="0065647A">
        <w:rPr>
          <w:rFonts w:cstheme="minorHAnsi"/>
          <w:sz w:val="24"/>
          <w:szCs w:val="24"/>
        </w:rPr>
        <w:t xml:space="preserve"> studies </w:t>
      </w:r>
      <w:r w:rsidR="0066453A" w:rsidRPr="0065647A">
        <w:rPr>
          <w:rFonts w:cstheme="minorHAnsi"/>
          <w:sz w:val="24"/>
          <w:szCs w:val="24"/>
        </w:rPr>
        <w:t xml:space="preserve">that mention </w:t>
      </w:r>
      <w:r w:rsidRPr="0065647A">
        <w:rPr>
          <w:rFonts w:cstheme="minorHAnsi"/>
          <w:sz w:val="24"/>
          <w:szCs w:val="24"/>
        </w:rPr>
        <w:t>Methotrexate use in CNO</w:t>
      </w:r>
      <w:r w:rsidR="0066453A" w:rsidRPr="0065647A">
        <w:rPr>
          <w:rFonts w:cstheme="minorHAnsi"/>
          <w:sz w:val="24"/>
          <w:szCs w:val="24"/>
        </w:rPr>
        <w:t xml:space="preserve">, </w:t>
      </w:r>
      <w:r w:rsidRPr="0065647A">
        <w:rPr>
          <w:rFonts w:cstheme="minorHAnsi"/>
          <w:sz w:val="24"/>
          <w:szCs w:val="24"/>
        </w:rPr>
        <w:t xml:space="preserve">with remission rates varying from 20-24% </w:t>
      </w:r>
      <w:r w:rsidRPr="0065647A">
        <w:rPr>
          <w:rFonts w:cstheme="minorHAnsi"/>
          <w:sz w:val="24"/>
          <w:szCs w:val="24"/>
          <w:vertAlign w:val="superscript"/>
        </w:rPr>
        <w:t>3-6</w:t>
      </w:r>
      <w:r w:rsidRPr="0065647A">
        <w:rPr>
          <w:rFonts w:cstheme="minorHAnsi"/>
          <w:sz w:val="24"/>
          <w:szCs w:val="24"/>
        </w:rPr>
        <w:t xml:space="preserve">.  In a study where patients on methotrexate had a 44% remission rate, 67% of patients had a concomitant rheumatological condition rather than CNO alone.  </w:t>
      </w:r>
    </w:p>
    <w:p w14:paraId="7C668423" w14:textId="5FC4FCA5" w:rsidR="00150371" w:rsidRPr="0065647A" w:rsidRDefault="00150371" w:rsidP="0065647A">
      <w:pPr>
        <w:spacing w:after="0"/>
        <w:jc w:val="both"/>
        <w:rPr>
          <w:rFonts w:cstheme="minorHAnsi"/>
          <w:sz w:val="24"/>
          <w:szCs w:val="24"/>
          <w:vertAlign w:val="superscript"/>
        </w:rPr>
      </w:pPr>
      <w:r w:rsidRPr="0065647A">
        <w:rPr>
          <w:rFonts w:cstheme="minorHAnsi"/>
          <w:sz w:val="24"/>
          <w:szCs w:val="24"/>
        </w:rPr>
        <w:t xml:space="preserve">A couple of studies mention sulfasalazine use in CNO.  One showed involving 22 patients showed an 18% complete remission rate, </w:t>
      </w:r>
      <w:proofErr w:type="gramStart"/>
      <w:r w:rsidRPr="0065647A">
        <w:rPr>
          <w:rFonts w:cstheme="minorHAnsi"/>
          <w:sz w:val="24"/>
          <w:szCs w:val="24"/>
        </w:rPr>
        <w:t>similar to</w:t>
      </w:r>
      <w:proofErr w:type="gramEnd"/>
      <w:r w:rsidRPr="0065647A">
        <w:rPr>
          <w:rFonts w:cstheme="minorHAnsi"/>
          <w:sz w:val="24"/>
          <w:szCs w:val="24"/>
        </w:rPr>
        <w:t xml:space="preserve"> that seen with Methotrexate</w:t>
      </w:r>
      <w:r w:rsidRPr="0065647A">
        <w:rPr>
          <w:rFonts w:cstheme="minorHAnsi"/>
          <w:sz w:val="24"/>
          <w:szCs w:val="24"/>
          <w:vertAlign w:val="superscript"/>
        </w:rPr>
        <w:t>6</w:t>
      </w:r>
      <w:r w:rsidRPr="0065647A">
        <w:rPr>
          <w:rFonts w:cstheme="minorHAnsi"/>
          <w:sz w:val="24"/>
          <w:szCs w:val="24"/>
        </w:rPr>
        <w:t>.  Another larger study with 47 patients, showed 38% complete remission rate</w:t>
      </w:r>
      <w:r w:rsidRPr="0065647A">
        <w:rPr>
          <w:rFonts w:cstheme="minorHAnsi"/>
          <w:sz w:val="24"/>
          <w:szCs w:val="24"/>
          <w:vertAlign w:val="superscript"/>
        </w:rPr>
        <w:t>5.</w:t>
      </w:r>
    </w:p>
    <w:p w14:paraId="231D2A6C" w14:textId="5E3BF8A5" w:rsidR="007A5C8E" w:rsidRPr="0065647A" w:rsidRDefault="007A5C8E" w:rsidP="0065647A">
      <w:pPr>
        <w:spacing w:after="0"/>
        <w:jc w:val="both"/>
        <w:rPr>
          <w:rFonts w:cstheme="minorHAnsi"/>
          <w:sz w:val="24"/>
          <w:szCs w:val="24"/>
        </w:rPr>
      </w:pPr>
    </w:p>
    <w:p w14:paraId="3DBEC495" w14:textId="61C0C1FA" w:rsidR="007A5C8E" w:rsidRPr="0065647A" w:rsidRDefault="007A5C8E" w:rsidP="0065647A">
      <w:pPr>
        <w:spacing w:after="0"/>
        <w:jc w:val="both"/>
        <w:rPr>
          <w:rFonts w:cstheme="minorHAnsi"/>
          <w:sz w:val="24"/>
          <w:szCs w:val="24"/>
        </w:rPr>
      </w:pPr>
      <w:r w:rsidRPr="0065647A">
        <w:rPr>
          <w:rFonts w:cstheme="minorHAnsi"/>
          <w:color w:val="212121"/>
          <w:sz w:val="24"/>
          <w:szCs w:val="24"/>
          <w:shd w:val="clear" w:color="auto" w:fill="FFFFFF"/>
        </w:rPr>
        <w:t>Most literature reported variable success of methotrexate (MTX) and sulfasalazine (SSZ) in patients with poor responses to NSAIDs or frequent relapses. Other DMARDs were rarely used. Five articles have reported treatment of DMARDs in CNO with level IV evidence. Jansson </w:t>
      </w:r>
      <w:r w:rsidRPr="0065647A">
        <w:rPr>
          <w:rStyle w:val="Emphasis"/>
          <w:rFonts w:cstheme="minorHAnsi"/>
          <w:color w:val="212121"/>
          <w:sz w:val="24"/>
          <w:szCs w:val="24"/>
          <w:shd w:val="clear" w:color="auto" w:fill="FFFFFF"/>
        </w:rPr>
        <w:t>et al.</w:t>
      </w:r>
      <w:r w:rsidRPr="0065647A">
        <w:rPr>
          <w:rFonts w:cstheme="minorHAnsi"/>
          <w:color w:val="212121"/>
          <w:sz w:val="24"/>
          <w:szCs w:val="24"/>
          <w:shd w:val="clear" w:color="auto" w:fill="FFFFFF"/>
        </w:rPr>
        <w:t> (</w:t>
      </w:r>
      <w:hyperlink r:id="rId10" w:anchor="R19" w:history="1">
        <w:r w:rsidRPr="0065647A">
          <w:rPr>
            <w:rStyle w:val="Hyperlink"/>
            <w:rFonts w:cstheme="minorHAnsi"/>
            <w:color w:val="376FAA"/>
            <w:sz w:val="24"/>
            <w:szCs w:val="24"/>
            <w:shd w:val="clear" w:color="auto" w:fill="FFFFFF"/>
          </w:rPr>
          <w:t>19</w:t>
        </w:r>
      </w:hyperlink>
      <w:r w:rsidRPr="0065647A">
        <w:rPr>
          <w:rFonts w:cstheme="minorHAnsi"/>
          <w:color w:val="212121"/>
          <w:sz w:val="24"/>
          <w:szCs w:val="24"/>
          <w:shd w:val="clear" w:color="auto" w:fill="FFFFFF"/>
        </w:rPr>
        <w:t>), Catalano </w:t>
      </w:r>
      <w:r w:rsidRPr="0065647A">
        <w:rPr>
          <w:rStyle w:val="Emphasis"/>
          <w:rFonts w:cstheme="minorHAnsi"/>
          <w:color w:val="212121"/>
          <w:sz w:val="24"/>
          <w:szCs w:val="24"/>
          <w:shd w:val="clear" w:color="auto" w:fill="FFFFFF"/>
        </w:rPr>
        <w:t>et al.</w:t>
      </w:r>
      <w:r w:rsidRPr="0065647A">
        <w:rPr>
          <w:rFonts w:cstheme="minorHAnsi"/>
          <w:color w:val="212121"/>
          <w:sz w:val="24"/>
          <w:szCs w:val="24"/>
          <w:shd w:val="clear" w:color="auto" w:fill="FFFFFF"/>
        </w:rPr>
        <w:t> (</w:t>
      </w:r>
      <w:hyperlink r:id="rId11" w:anchor="R23" w:history="1">
        <w:r w:rsidRPr="0065647A">
          <w:rPr>
            <w:rStyle w:val="Hyperlink"/>
            <w:rFonts w:cstheme="minorHAnsi"/>
            <w:color w:val="376FAA"/>
            <w:sz w:val="24"/>
            <w:szCs w:val="24"/>
            <w:shd w:val="clear" w:color="auto" w:fill="FFFFFF"/>
          </w:rPr>
          <w:t>23</w:t>
        </w:r>
      </w:hyperlink>
      <w:r w:rsidRPr="0065647A">
        <w:rPr>
          <w:rFonts w:cstheme="minorHAnsi"/>
          <w:color w:val="212121"/>
          <w:sz w:val="24"/>
          <w:szCs w:val="24"/>
          <w:shd w:val="clear" w:color="auto" w:fill="FFFFFF"/>
        </w:rPr>
        <w:t>), and Kaiser </w:t>
      </w:r>
      <w:r w:rsidRPr="0065647A">
        <w:rPr>
          <w:rStyle w:val="Emphasis"/>
          <w:rFonts w:cstheme="minorHAnsi"/>
          <w:color w:val="212121"/>
          <w:sz w:val="24"/>
          <w:szCs w:val="24"/>
          <w:shd w:val="clear" w:color="auto" w:fill="FFFFFF"/>
        </w:rPr>
        <w:t>et al.</w:t>
      </w:r>
      <w:r w:rsidRPr="0065647A">
        <w:rPr>
          <w:rFonts w:cstheme="minorHAnsi"/>
          <w:color w:val="212121"/>
          <w:sz w:val="24"/>
          <w:szCs w:val="24"/>
          <w:shd w:val="clear" w:color="auto" w:fill="FFFFFF"/>
        </w:rPr>
        <w:t> (</w:t>
      </w:r>
      <w:hyperlink r:id="rId12" w:anchor="R20" w:history="1">
        <w:r w:rsidRPr="0065647A">
          <w:rPr>
            <w:rStyle w:val="Hyperlink"/>
            <w:rFonts w:cstheme="minorHAnsi"/>
            <w:color w:val="376FAA"/>
            <w:sz w:val="24"/>
            <w:szCs w:val="24"/>
            <w:shd w:val="clear" w:color="auto" w:fill="FFFFFF"/>
          </w:rPr>
          <w:t>20</w:t>
        </w:r>
      </w:hyperlink>
      <w:r w:rsidRPr="0065647A">
        <w:rPr>
          <w:rFonts w:cstheme="minorHAnsi"/>
          <w:color w:val="212121"/>
          <w:sz w:val="24"/>
          <w:szCs w:val="24"/>
          <w:shd w:val="clear" w:color="auto" w:fill="FFFFFF"/>
        </w:rPr>
        <w:t xml:space="preserve">) documented poor responses to SSZ, MTX, and azathioprine in children with CNO. </w:t>
      </w:r>
      <w:proofErr w:type="spellStart"/>
      <w:r w:rsidRPr="0065647A">
        <w:rPr>
          <w:rFonts w:cstheme="minorHAnsi"/>
          <w:color w:val="212121"/>
          <w:sz w:val="24"/>
          <w:szCs w:val="24"/>
          <w:shd w:val="clear" w:color="auto" w:fill="FFFFFF"/>
        </w:rPr>
        <w:t>Borzutzky</w:t>
      </w:r>
      <w:proofErr w:type="spellEnd"/>
      <w:r w:rsidRPr="0065647A">
        <w:rPr>
          <w:rFonts w:cstheme="minorHAnsi"/>
          <w:color w:val="212121"/>
          <w:sz w:val="24"/>
          <w:szCs w:val="24"/>
          <w:shd w:val="clear" w:color="auto" w:fill="FFFFFF"/>
        </w:rPr>
        <w:t> </w:t>
      </w:r>
      <w:r w:rsidRPr="0065647A">
        <w:rPr>
          <w:rStyle w:val="Emphasis"/>
          <w:rFonts w:cstheme="minorHAnsi"/>
          <w:color w:val="212121"/>
          <w:sz w:val="24"/>
          <w:szCs w:val="24"/>
          <w:shd w:val="clear" w:color="auto" w:fill="FFFFFF"/>
        </w:rPr>
        <w:t>et al.</w:t>
      </w:r>
      <w:r w:rsidRPr="0065647A">
        <w:rPr>
          <w:rFonts w:cstheme="minorHAnsi"/>
          <w:color w:val="212121"/>
          <w:sz w:val="24"/>
          <w:szCs w:val="24"/>
          <w:shd w:val="clear" w:color="auto" w:fill="FFFFFF"/>
        </w:rPr>
        <w:t> (</w:t>
      </w:r>
      <w:hyperlink r:id="rId13" w:anchor="R17" w:history="1">
        <w:r w:rsidRPr="0065647A">
          <w:rPr>
            <w:rStyle w:val="Hyperlink"/>
            <w:rFonts w:cstheme="minorHAnsi"/>
            <w:color w:val="376FAA"/>
            <w:sz w:val="24"/>
            <w:szCs w:val="24"/>
            <w:shd w:val="clear" w:color="auto" w:fill="FFFFFF"/>
          </w:rPr>
          <w:t>17</w:t>
        </w:r>
      </w:hyperlink>
      <w:r w:rsidRPr="0065647A">
        <w:rPr>
          <w:rFonts w:cstheme="minorHAnsi"/>
          <w:color w:val="212121"/>
          <w:sz w:val="24"/>
          <w:szCs w:val="24"/>
          <w:shd w:val="clear" w:color="auto" w:fill="FFFFFF"/>
        </w:rPr>
        <w:t xml:space="preserve">) and </w:t>
      </w:r>
      <w:proofErr w:type="spellStart"/>
      <w:r w:rsidRPr="0065647A">
        <w:rPr>
          <w:rFonts w:cstheme="minorHAnsi"/>
          <w:color w:val="212121"/>
          <w:sz w:val="24"/>
          <w:szCs w:val="24"/>
          <w:shd w:val="clear" w:color="auto" w:fill="FFFFFF"/>
        </w:rPr>
        <w:t>Wipff</w:t>
      </w:r>
      <w:proofErr w:type="spellEnd"/>
      <w:r w:rsidRPr="0065647A">
        <w:rPr>
          <w:rFonts w:cstheme="minorHAnsi"/>
          <w:color w:val="212121"/>
          <w:sz w:val="24"/>
          <w:szCs w:val="24"/>
          <w:shd w:val="clear" w:color="auto" w:fill="FFFFFF"/>
        </w:rPr>
        <w:t> </w:t>
      </w:r>
      <w:r w:rsidRPr="0065647A">
        <w:rPr>
          <w:rStyle w:val="Emphasis"/>
          <w:rFonts w:cstheme="minorHAnsi"/>
          <w:color w:val="212121"/>
          <w:sz w:val="24"/>
          <w:szCs w:val="24"/>
          <w:shd w:val="clear" w:color="auto" w:fill="FFFFFF"/>
        </w:rPr>
        <w:t>et al.</w:t>
      </w:r>
      <w:r w:rsidRPr="0065647A">
        <w:rPr>
          <w:rFonts w:cstheme="minorHAnsi"/>
          <w:color w:val="212121"/>
          <w:sz w:val="24"/>
          <w:szCs w:val="24"/>
          <w:shd w:val="clear" w:color="auto" w:fill="FFFFFF"/>
        </w:rPr>
        <w:t> (</w:t>
      </w:r>
      <w:hyperlink r:id="rId14" w:anchor="R18" w:history="1">
        <w:r w:rsidRPr="0065647A">
          <w:rPr>
            <w:rStyle w:val="Hyperlink"/>
            <w:rFonts w:cstheme="minorHAnsi"/>
            <w:color w:val="376FAA"/>
            <w:sz w:val="24"/>
            <w:szCs w:val="24"/>
            <w:shd w:val="clear" w:color="auto" w:fill="FFFFFF"/>
          </w:rPr>
          <w:t>18</w:t>
        </w:r>
      </w:hyperlink>
      <w:r w:rsidRPr="0065647A">
        <w:rPr>
          <w:rFonts w:cstheme="minorHAnsi"/>
          <w:color w:val="212121"/>
          <w:sz w:val="24"/>
          <w:szCs w:val="24"/>
          <w:shd w:val="clear" w:color="auto" w:fill="FFFFFF"/>
        </w:rPr>
        <w:t xml:space="preserve">) showed relatively lower remission rates (18–20%) and efficacy (38–41%) in children treated with MTX or SSZ. There was poor tolerance of </w:t>
      </w:r>
      <w:proofErr w:type="gramStart"/>
      <w:r w:rsidRPr="0065647A">
        <w:rPr>
          <w:rFonts w:cstheme="minorHAnsi"/>
          <w:color w:val="212121"/>
          <w:sz w:val="24"/>
          <w:szCs w:val="24"/>
          <w:shd w:val="clear" w:color="auto" w:fill="FFFFFF"/>
        </w:rPr>
        <w:t>MTX</w:t>
      </w:r>
      <w:proofErr w:type="gramEnd"/>
      <w:r w:rsidRPr="0065647A">
        <w:rPr>
          <w:rFonts w:cstheme="minorHAnsi"/>
          <w:color w:val="212121"/>
          <w:sz w:val="24"/>
          <w:szCs w:val="24"/>
          <w:shd w:val="clear" w:color="auto" w:fill="FFFFFF"/>
        </w:rPr>
        <w:t xml:space="preserve"> and dosing was not reported in most studies.</w:t>
      </w:r>
    </w:p>
    <w:p w14:paraId="2F1965E3" w14:textId="77777777" w:rsidR="00150371" w:rsidRPr="0065647A" w:rsidRDefault="00150371" w:rsidP="0065647A">
      <w:pPr>
        <w:jc w:val="both"/>
        <w:rPr>
          <w:rFonts w:cstheme="minorHAnsi"/>
          <w:sz w:val="24"/>
          <w:szCs w:val="24"/>
        </w:rPr>
      </w:pPr>
    </w:p>
    <w:p w14:paraId="539D0ADA" w14:textId="4D401B9D" w:rsidR="0066453A" w:rsidRPr="0065647A" w:rsidRDefault="0066453A" w:rsidP="0065647A">
      <w:pPr>
        <w:jc w:val="both"/>
        <w:rPr>
          <w:rFonts w:cstheme="minorHAnsi"/>
          <w:sz w:val="24"/>
          <w:szCs w:val="24"/>
        </w:rPr>
      </w:pPr>
      <w:r w:rsidRPr="0065647A">
        <w:rPr>
          <w:rFonts w:cstheme="minorHAnsi"/>
          <w:sz w:val="24"/>
          <w:szCs w:val="24"/>
        </w:rPr>
        <w:t>Recommendation:</w:t>
      </w:r>
    </w:p>
    <w:p w14:paraId="2F7034F8" w14:textId="424505C1" w:rsidR="0066453A" w:rsidRPr="0065647A" w:rsidRDefault="0066453A" w:rsidP="0065647A">
      <w:pPr>
        <w:jc w:val="both"/>
        <w:rPr>
          <w:rFonts w:cstheme="minorHAnsi"/>
          <w:sz w:val="24"/>
          <w:szCs w:val="24"/>
        </w:rPr>
      </w:pPr>
      <w:r w:rsidRPr="0065647A">
        <w:rPr>
          <w:rFonts w:cstheme="minorHAnsi"/>
          <w:sz w:val="24"/>
          <w:szCs w:val="24"/>
        </w:rPr>
        <w:t xml:space="preserve">Methotrexate is a treatment option for </w:t>
      </w:r>
      <w:proofErr w:type="gramStart"/>
      <w:r w:rsidRPr="0065647A">
        <w:rPr>
          <w:rFonts w:cstheme="minorHAnsi"/>
          <w:sz w:val="24"/>
          <w:szCs w:val="24"/>
        </w:rPr>
        <w:t>CNO, but</w:t>
      </w:r>
      <w:proofErr w:type="gramEnd"/>
      <w:r w:rsidRPr="0065647A">
        <w:rPr>
          <w:rFonts w:cstheme="minorHAnsi"/>
          <w:sz w:val="24"/>
          <w:szCs w:val="24"/>
        </w:rPr>
        <w:t xml:space="preserve"> may be especially useful for those with associated arthritis or other rheumatological conditions</w:t>
      </w:r>
      <w:r w:rsidR="007A5C8E" w:rsidRPr="0065647A">
        <w:rPr>
          <w:rFonts w:cstheme="minorHAnsi"/>
          <w:sz w:val="24"/>
          <w:szCs w:val="24"/>
        </w:rPr>
        <w:t xml:space="preserve"> (suggested dosing as per children’s BNF JIA dose)</w:t>
      </w:r>
      <w:r w:rsidRPr="0065647A">
        <w:rPr>
          <w:rFonts w:cstheme="minorHAnsi"/>
          <w:sz w:val="24"/>
          <w:szCs w:val="24"/>
        </w:rPr>
        <w:t>.</w:t>
      </w:r>
    </w:p>
    <w:p w14:paraId="1A11FC8A" w14:textId="15725F76" w:rsidR="0066453A" w:rsidRPr="0065647A" w:rsidRDefault="007A5C8E" w:rsidP="0065647A">
      <w:pPr>
        <w:jc w:val="both"/>
        <w:rPr>
          <w:rFonts w:cstheme="minorHAnsi"/>
          <w:sz w:val="24"/>
          <w:szCs w:val="24"/>
          <w:vertAlign w:val="superscript"/>
        </w:rPr>
      </w:pPr>
      <w:r w:rsidRPr="0065647A">
        <w:rPr>
          <w:rFonts w:cstheme="minorHAnsi"/>
          <w:sz w:val="24"/>
          <w:szCs w:val="24"/>
        </w:rPr>
        <w:t>Both w</w:t>
      </w:r>
      <w:r w:rsidR="0066453A" w:rsidRPr="0065647A">
        <w:rPr>
          <w:rFonts w:cstheme="minorHAnsi"/>
          <w:sz w:val="24"/>
          <w:szCs w:val="24"/>
        </w:rPr>
        <w:t xml:space="preserve">ill require regular blood monitoring as per local protocols. </w:t>
      </w:r>
    </w:p>
    <w:p w14:paraId="5931E490" w14:textId="645BE0F1" w:rsidR="003732AA" w:rsidRPr="0065647A" w:rsidRDefault="003732AA" w:rsidP="0065647A">
      <w:pPr>
        <w:spacing w:after="0"/>
        <w:jc w:val="both"/>
        <w:rPr>
          <w:rFonts w:cstheme="minorHAnsi"/>
          <w:sz w:val="24"/>
          <w:szCs w:val="24"/>
        </w:rPr>
      </w:pPr>
      <w:r w:rsidRPr="0065647A">
        <w:rPr>
          <w:rFonts w:cstheme="minorHAnsi"/>
          <w:sz w:val="24"/>
          <w:szCs w:val="24"/>
        </w:rPr>
        <w:t>Sulfasalazine is a treatment option for CNO</w:t>
      </w:r>
      <w:r w:rsidR="00150371" w:rsidRPr="0065647A">
        <w:rPr>
          <w:rFonts w:cstheme="minorHAnsi"/>
          <w:sz w:val="24"/>
          <w:szCs w:val="24"/>
        </w:rPr>
        <w:t xml:space="preserve"> (suggested d</w:t>
      </w:r>
      <w:r w:rsidRPr="0065647A">
        <w:rPr>
          <w:rFonts w:cstheme="minorHAnsi"/>
          <w:sz w:val="24"/>
          <w:szCs w:val="24"/>
        </w:rPr>
        <w:t>osing as per children’s BNF</w:t>
      </w:r>
      <w:r w:rsidR="00150371" w:rsidRPr="0065647A">
        <w:rPr>
          <w:rFonts w:cstheme="minorHAnsi"/>
          <w:sz w:val="24"/>
          <w:szCs w:val="24"/>
        </w:rPr>
        <w:t xml:space="preserve"> JIA dose).</w:t>
      </w:r>
    </w:p>
    <w:p w14:paraId="0944A37B" w14:textId="3639CF75" w:rsidR="003732AA" w:rsidRPr="0065647A" w:rsidRDefault="00150371" w:rsidP="0065647A">
      <w:pPr>
        <w:jc w:val="both"/>
        <w:rPr>
          <w:rFonts w:cstheme="minorHAnsi"/>
          <w:sz w:val="24"/>
          <w:szCs w:val="24"/>
          <w:vertAlign w:val="superscript"/>
        </w:rPr>
      </w:pPr>
      <w:r w:rsidRPr="0065647A">
        <w:rPr>
          <w:rFonts w:cstheme="minorHAnsi"/>
          <w:sz w:val="24"/>
          <w:szCs w:val="24"/>
        </w:rPr>
        <w:t>Both w</w:t>
      </w:r>
      <w:r w:rsidR="003732AA" w:rsidRPr="0065647A">
        <w:rPr>
          <w:rFonts w:cstheme="minorHAnsi"/>
          <w:sz w:val="24"/>
          <w:szCs w:val="24"/>
        </w:rPr>
        <w:t xml:space="preserve">ill require regular blood monitoring as per local protocols. </w:t>
      </w:r>
    </w:p>
    <w:p w14:paraId="05D04000" w14:textId="1B65FB70" w:rsidR="003732AA" w:rsidRPr="0065647A" w:rsidRDefault="003732AA" w:rsidP="0065647A">
      <w:pPr>
        <w:spacing w:after="0"/>
        <w:jc w:val="both"/>
        <w:rPr>
          <w:rFonts w:cstheme="minorHAnsi"/>
          <w:sz w:val="24"/>
          <w:szCs w:val="24"/>
        </w:rPr>
      </w:pPr>
    </w:p>
    <w:p w14:paraId="325D94D0" w14:textId="4B22BE16" w:rsidR="00D82515" w:rsidRPr="0065647A" w:rsidRDefault="00D82515" w:rsidP="0065647A">
      <w:pPr>
        <w:spacing w:after="0"/>
        <w:jc w:val="both"/>
        <w:rPr>
          <w:rFonts w:cstheme="minorHAnsi"/>
          <w:sz w:val="24"/>
          <w:szCs w:val="24"/>
        </w:rPr>
      </w:pPr>
    </w:p>
    <w:p w14:paraId="0EE3399F" w14:textId="3520D6C3" w:rsidR="00D82515" w:rsidRPr="0065647A" w:rsidRDefault="00D82515" w:rsidP="0065647A">
      <w:pPr>
        <w:spacing w:after="0"/>
        <w:jc w:val="both"/>
        <w:rPr>
          <w:rFonts w:cstheme="minorHAnsi"/>
          <w:sz w:val="24"/>
          <w:szCs w:val="24"/>
        </w:rPr>
      </w:pPr>
    </w:p>
    <w:p w14:paraId="23C35A25" w14:textId="77777777" w:rsidR="00AC0BE0" w:rsidRPr="0065647A" w:rsidRDefault="00AC0BE0" w:rsidP="0065647A">
      <w:pPr>
        <w:spacing w:after="0"/>
        <w:jc w:val="both"/>
        <w:rPr>
          <w:rFonts w:cstheme="minorHAnsi"/>
          <w:sz w:val="24"/>
          <w:szCs w:val="24"/>
        </w:rPr>
      </w:pPr>
    </w:p>
    <w:p w14:paraId="20F72FD6" w14:textId="69ACA158" w:rsidR="00874565" w:rsidRPr="0065647A" w:rsidRDefault="00B732C5" w:rsidP="0065647A">
      <w:pPr>
        <w:spacing w:after="0"/>
        <w:jc w:val="both"/>
        <w:rPr>
          <w:rFonts w:cstheme="minorHAnsi"/>
          <w:sz w:val="24"/>
          <w:szCs w:val="24"/>
        </w:rPr>
      </w:pPr>
      <w:r w:rsidRPr="0065647A">
        <w:rPr>
          <w:rFonts w:cstheme="minorHAnsi"/>
          <w:sz w:val="24"/>
          <w:szCs w:val="24"/>
        </w:rPr>
        <w:t xml:space="preserve">SPARN Treatment Flowchart </w:t>
      </w:r>
    </w:p>
    <w:p w14:paraId="1EB69CC4" w14:textId="77777777" w:rsidR="00874565" w:rsidRPr="0065647A" w:rsidRDefault="00874565" w:rsidP="0065647A">
      <w:pPr>
        <w:spacing w:after="0"/>
        <w:jc w:val="both"/>
        <w:rPr>
          <w:rFonts w:cstheme="minorHAnsi"/>
          <w:sz w:val="24"/>
          <w:szCs w:val="24"/>
        </w:rPr>
      </w:pPr>
    </w:p>
    <w:p w14:paraId="132F2D8F" w14:textId="55943E06" w:rsidR="00874565" w:rsidRPr="0065647A" w:rsidRDefault="00B732C5" w:rsidP="0065647A">
      <w:pPr>
        <w:spacing w:after="0"/>
        <w:jc w:val="both"/>
        <w:rPr>
          <w:rFonts w:cstheme="minorHAnsi"/>
          <w:sz w:val="24"/>
          <w:szCs w:val="24"/>
        </w:rPr>
      </w:pPr>
      <w:r w:rsidRPr="0065647A">
        <w:rPr>
          <w:rFonts w:cstheme="minorHAnsi"/>
          <w:sz w:val="24"/>
          <w:szCs w:val="24"/>
        </w:rPr>
        <w:t xml:space="preserve">Diagnosis of CNO </w:t>
      </w:r>
      <w:r w:rsidR="00874565" w:rsidRPr="0065647A">
        <w:rPr>
          <w:rFonts w:cstheme="minorHAnsi"/>
          <w:sz w:val="24"/>
          <w:szCs w:val="24"/>
        </w:rPr>
        <w:t>– (if patient has spinal lesions – go to step 2).</w:t>
      </w:r>
    </w:p>
    <w:p w14:paraId="0AB36A5E" w14:textId="77777777" w:rsidR="00874565" w:rsidRPr="0065647A" w:rsidRDefault="00874565" w:rsidP="0065647A">
      <w:pPr>
        <w:spacing w:after="0"/>
        <w:jc w:val="both"/>
        <w:rPr>
          <w:rFonts w:cstheme="minorHAnsi"/>
          <w:sz w:val="24"/>
          <w:szCs w:val="24"/>
        </w:rPr>
      </w:pPr>
    </w:p>
    <w:p w14:paraId="60188F94" w14:textId="77777777" w:rsidR="00874565" w:rsidRPr="0065647A" w:rsidRDefault="00B732C5" w:rsidP="0065647A">
      <w:pPr>
        <w:spacing w:after="0"/>
        <w:jc w:val="both"/>
        <w:rPr>
          <w:rFonts w:cstheme="minorHAnsi"/>
          <w:sz w:val="24"/>
          <w:szCs w:val="24"/>
        </w:rPr>
      </w:pPr>
      <w:r w:rsidRPr="0065647A">
        <w:rPr>
          <w:rFonts w:cstheme="minorHAnsi"/>
          <w:sz w:val="24"/>
          <w:szCs w:val="24"/>
        </w:rPr>
        <w:t xml:space="preserve">Step 1 </w:t>
      </w:r>
    </w:p>
    <w:p w14:paraId="74380AA3" w14:textId="77777777" w:rsidR="00874565" w:rsidRPr="0065647A" w:rsidRDefault="00874565" w:rsidP="0065647A">
      <w:pPr>
        <w:spacing w:after="0"/>
        <w:jc w:val="both"/>
        <w:rPr>
          <w:rFonts w:cstheme="minorHAnsi"/>
          <w:sz w:val="24"/>
          <w:szCs w:val="24"/>
        </w:rPr>
      </w:pPr>
    </w:p>
    <w:p w14:paraId="1161A2BB" w14:textId="2949185A" w:rsidR="00874565" w:rsidRPr="0065647A" w:rsidRDefault="00B732C5" w:rsidP="0065647A">
      <w:pPr>
        <w:spacing w:after="0"/>
        <w:jc w:val="both"/>
        <w:rPr>
          <w:rFonts w:cstheme="minorHAnsi"/>
          <w:sz w:val="24"/>
          <w:szCs w:val="24"/>
        </w:rPr>
      </w:pPr>
      <w:r w:rsidRPr="0065647A">
        <w:rPr>
          <w:rFonts w:cstheme="minorHAnsi"/>
          <w:sz w:val="24"/>
          <w:szCs w:val="24"/>
        </w:rPr>
        <w:t xml:space="preserve">Regular NSAIDs - anti-inflammatory dose </w:t>
      </w:r>
      <w:proofErr w:type="spellStart"/>
      <w:r w:rsidRPr="0065647A">
        <w:rPr>
          <w:rFonts w:cstheme="minorHAnsi"/>
          <w:sz w:val="24"/>
          <w:szCs w:val="24"/>
        </w:rPr>
        <w:t>eg.</w:t>
      </w:r>
      <w:proofErr w:type="spellEnd"/>
      <w:r w:rsidRPr="0065647A">
        <w:rPr>
          <w:rFonts w:cstheme="minorHAnsi"/>
          <w:sz w:val="24"/>
          <w:szCs w:val="24"/>
        </w:rPr>
        <w:t xml:space="preserve"> Ibuprofen </w:t>
      </w:r>
      <w:r w:rsidR="00874565" w:rsidRPr="0065647A">
        <w:rPr>
          <w:rFonts w:cstheme="minorHAnsi"/>
          <w:sz w:val="24"/>
          <w:szCs w:val="24"/>
        </w:rPr>
        <w:t>or Naproxen</w:t>
      </w:r>
    </w:p>
    <w:p w14:paraId="630C25CF" w14:textId="77777777" w:rsidR="00874565" w:rsidRPr="0065647A" w:rsidRDefault="00B732C5" w:rsidP="0065647A">
      <w:pPr>
        <w:spacing w:after="0"/>
        <w:jc w:val="both"/>
        <w:rPr>
          <w:rFonts w:cstheme="minorHAnsi"/>
          <w:sz w:val="24"/>
          <w:szCs w:val="24"/>
        </w:rPr>
      </w:pPr>
      <w:r w:rsidRPr="0065647A">
        <w:rPr>
          <w:rFonts w:cstheme="minorHAnsi"/>
          <w:sz w:val="24"/>
          <w:szCs w:val="24"/>
        </w:rPr>
        <w:t xml:space="preserve">Consider gastroprotection Assess response </w:t>
      </w:r>
      <w:proofErr w:type="gramStart"/>
      <w:r w:rsidRPr="0065647A">
        <w:rPr>
          <w:rFonts w:cstheme="minorHAnsi"/>
          <w:sz w:val="24"/>
          <w:szCs w:val="24"/>
        </w:rPr>
        <w:t>Good</w:t>
      </w:r>
      <w:proofErr w:type="gramEnd"/>
      <w:r w:rsidRPr="0065647A">
        <w:rPr>
          <w:rFonts w:cstheme="minorHAnsi"/>
          <w:sz w:val="24"/>
          <w:szCs w:val="24"/>
        </w:rPr>
        <w:t xml:space="preserve"> response to NSAIDS; observe and review </w:t>
      </w:r>
    </w:p>
    <w:p w14:paraId="5B81AA29" w14:textId="45A47127" w:rsidR="00874565" w:rsidRPr="0065647A" w:rsidRDefault="00874565" w:rsidP="0065647A">
      <w:pPr>
        <w:spacing w:after="0"/>
        <w:jc w:val="both"/>
        <w:rPr>
          <w:rFonts w:cstheme="minorHAnsi"/>
          <w:sz w:val="24"/>
          <w:szCs w:val="24"/>
        </w:rPr>
      </w:pPr>
      <w:r w:rsidRPr="0065647A">
        <w:rPr>
          <w:rFonts w:cstheme="minorHAnsi"/>
          <w:sz w:val="24"/>
          <w:szCs w:val="24"/>
        </w:rPr>
        <w:t xml:space="preserve">Review at 3 months: </w:t>
      </w:r>
      <w:r w:rsidR="00B732C5" w:rsidRPr="0065647A">
        <w:rPr>
          <w:rFonts w:cstheme="minorHAnsi"/>
          <w:sz w:val="24"/>
          <w:szCs w:val="24"/>
        </w:rPr>
        <w:t xml:space="preserve">No/poor response to NSAIDs; Move to step 2 </w:t>
      </w:r>
    </w:p>
    <w:p w14:paraId="2B6465DC" w14:textId="77777777" w:rsidR="00874565" w:rsidRPr="0065647A" w:rsidRDefault="00874565" w:rsidP="0065647A">
      <w:pPr>
        <w:spacing w:after="0"/>
        <w:jc w:val="both"/>
        <w:rPr>
          <w:rFonts w:cstheme="minorHAnsi"/>
          <w:sz w:val="24"/>
          <w:szCs w:val="24"/>
        </w:rPr>
      </w:pPr>
    </w:p>
    <w:p w14:paraId="177C9947" w14:textId="77777777" w:rsidR="00874565" w:rsidRPr="0065647A" w:rsidRDefault="00B732C5" w:rsidP="0065647A">
      <w:pPr>
        <w:spacing w:after="0"/>
        <w:jc w:val="both"/>
        <w:rPr>
          <w:rFonts w:cstheme="minorHAnsi"/>
          <w:sz w:val="24"/>
          <w:szCs w:val="24"/>
        </w:rPr>
      </w:pPr>
      <w:r w:rsidRPr="0065647A">
        <w:rPr>
          <w:rFonts w:cstheme="minorHAnsi"/>
          <w:sz w:val="24"/>
          <w:szCs w:val="24"/>
        </w:rPr>
        <w:t xml:space="preserve">Step 2 </w:t>
      </w:r>
    </w:p>
    <w:p w14:paraId="57536A55" w14:textId="77777777" w:rsidR="00874565" w:rsidRPr="0065647A" w:rsidRDefault="00874565" w:rsidP="0065647A">
      <w:pPr>
        <w:spacing w:after="0"/>
        <w:jc w:val="both"/>
        <w:rPr>
          <w:rFonts w:cstheme="minorHAnsi"/>
          <w:sz w:val="24"/>
          <w:szCs w:val="24"/>
        </w:rPr>
      </w:pPr>
    </w:p>
    <w:p w14:paraId="6C3B1851" w14:textId="1BDF0F1C" w:rsidR="00B732C5" w:rsidRPr="0065647A" w:rsidRDefault="00B732C5" w:rsidP="0065647A">
      <w:pPr>
        <w:spacing w:after="0"/>
        <w:jc w:val="both"/>
        <w:rPr>
          <w:rFonts w:cstheme="minorHAnsi"/>
          <w:sz w:val="24"/>
          <w:szCs w:val="24"/>
        </w:rPr>
      </w:pPr>
      <w:r w:rsidRPr="0065647A">
        <w:rPr>
          <w:rFonts w:cstheme="minorHAnsi"/>
          <w:sz w:val="24"/>
          <w:szCs w:val="24"/>
        </w:rPr>
        <w:t xml:space="preserve">Pamidronate infusion (bloods, Calcium supplements, dosing regimens as per SPARN protocol – Appendix 2) (Adalimumab can be used as an alternative if considered appropriate </w:t>
      </w:r>
      <w:proofErr w:type="spellStart"/>
      <w:proofErr w:type="gramStart"/>
      <w:r w:rsidRPr="0065647A">
        <w:rPr>
          <w:rFonts w:cstheme="minorHAnsi"/>
          <w:sz w:val="24"/>
          <w:szCs w:val="24"/>
        </w:rPr>
        <w:t>eg</w:t>
      </w:r>
      <w:proofErr w:type="spellEnd"/>
      <w:proofErr w:type="gramEnd"/>
      <w:r w:rsidRPr="0065647A">
        <w:rPr>
          <w:rFonts w:cstheme="minorHAnsi"/>
          <w:sz w:val="24"/>
          <w:szCs w:val="24"/>
        </w:rPr>
        <w:t xml:space="preserve"> significant dental caries or foreseeable need for possible future orthopaedic/</w:t>
      </w:r>
      <w:proofErr w:type="spellStart"/>
      <w:r w:rsidRPr="0065647A">
        <w:rPr>
          <w:rFonts w:cstheme="minorHAnsi"/>
          <w:sz w:val="24"/>
          <w:szCs w:val="24"/>
        </w:rPr>
        <w:t>maxfax</w:t>
      </w:r>
      <w:proofErr w:type="spellEnd"/>
      <w:r w:rsidRPr="0065647A">
        <w:rPr>
          <w:rFonts w:cstheme="minorHAnsi"/>
          <w:sz w:val="24"/>
          <w:szCs w:val="24"/>
        </w:rPr>
        <w:t xml:space="preserve"> surgery) Appendix 3 for price comparison Assess response Good response to Pamidronate and asymptomatic; observe and review. Good response to Pamidronate but symptoms recur; Further Pamidronate (single monthly dose or 3 doses every 3 months) max total of 12 doses Poor response to Pamidronate; Move to Step 3 Step 3 Anti-TNF </w:t>
      </w:r>
      <w:proofErr w:type="gramStart"/>
      <w:r w:rsidRPr="0065647A">
        <w:rPr>
          <w:rFonts w:cstheme="minorHAnsi"/>
          <w:sz w:val="24"/>
          <w:szCs w:val="24"/>
        </w:rPr>
        <w:t>e.g.</w:t>
      </w:r>
      <w:proofErr w:type="gramEnd"/>
      <w:r w:rsidRPr="0065647A">
        <w:rPr>
          <w:rFonts w:cstheme="minorHAnsi"/>
          <w:sz w:val="24"/>
          <w:szCs w:val="24"/>
        </w:rPr>
        <w:t xml:space="preserve"> Adalimumab or Infliximab Ensure baseline bloods including TB screening (CXR and </w:t>
      </w:r>
      <w:proofErr w:type="spellStart"/>
      <w:r w:rsidRPr="0065647A">
        <w:rPr>
          <w:rFonts w:cstheme="minorHAnsi"/>
          <w:sz w:val="24"/>
          <w:szCs w:val="24"/>
        </w:rPr>
        <w:t>Quantiferon</w:t>
      </w:r>
      <w:proofErr w:type="spellEnd"/>
      <w:r w:rsidRPr="0065647A">
        <w:rPr>
          <w:rFonts w:cstheme="minorHAnsi"/>
          <w:sz w:val="24"/>
          <w:szCs w:val="24"/>
        </w:rPr>
        <w:t>) prior to starting Assess response at 3 months Step 4: Consider change of Biologic</w:t>
      </w:r>
    </w:p>
    <w:p w14:paraId="0092CDF3" w14:textId="1AF3951B" w:rsidR="00B732C5" w:rsidRPr="0065647A" w:rsidRDefault="00B732C5" w:rsidP="0065647A">
      <w:pPr>
        <w:spacing w:after="0"/>
        <w:jc w:val="both"/>
        <w:rPr>
          <w:rFonts w:cstheme="minorHAnsi"/>
          <w:sz w:val="24"/>
          <w:szCs w:val="24"/>
        </w:rPr>
      </w:pPr>
    </w:p>
    <w:p w14:paraId="0C670CE6" w14:textId="2BFB8944" w:rsidR="007F5463" w:rsidRPr="0065647A" w:rsidRDefault="007F5463" w:rsidP="0065647A">
      <w:pPr>
        <w:jc w:val="both"/>
        <w:rPr>
          <w:rFonts w:cstheme="minorHAnsi"/>
          <w:b/>
          <w:color w:val="00A2E5"/>
          <w:sz w:val="24"/>
          <w:szCs w:val="24"/>
        </w:rPr>
      </w:pPr>
      <w:r w:rsidRPr="0065647A">
        <w:rPr>
          <w:rFonts w:cstheme="minorHAnsi"/>
          <w:b/>
          <w:color w:val="00A2E5"/>
          <w:sz w:val="24"/>
          <w:szCs w:val="24"/>
        </w:rPr>
        <w:t>TNF Inhibitors</w:t>
      </w:r>
    </w:p>
    <w:p w14:paraId="033AB3AD" w14:textId="77777777" w:rsidR="00361A8C" w:rsidRPr="0065647A" w:rsidRDefault="00361A8C" w:rsidP="0065647A">
      <w:pPr>
        <w:jc w:val="both"/>
        <w:rPr>
          <w:rFonts w:cstheme="minorHAnsi"/>
          <w:sz w:val="24"/>
          <w:szCs w:val="24"/>
        </w:rPr>
      </w:pPr>
      <w:r w:rsidRPr="0065647A">
        <w:rPr>
          <w:rFonts w:cstheme="minorHAnsi"/>
          <w:sz w:val="24"/>
          <w:szCs w:val="24"/>
        </w:rPr>
        <w:t>Evidence:</w:t>
      </w:r>
    </w:p>
    <w:p w14:paraId="6BCDAE92" w14:textId="5B69C1BF" w:rsidR="007F5463" w:rsidRPr="0065647A" w:rsidRDefault="007F5463" w:rsidP="0065647A">
      <w:pPr>
        <w:jc w:val="both"/>
        <w:rPr>
          <w:rFonts w:cstheme="minorHAnsi"/>
          <w:sz w:val="24"/>
          <w:szCs w:val="24"/>
        </w:rPr>
      </w:pPr>
      <w:r w:rsidRPr="0065647A">
        <w:rPr>
          <w:rFonts w:cstheme="minorHAnsi"/>
          <w:sz w:val="24"/>
          <w:szCs w:val="24"/>
        </w:rPr>
        <w:t>Recommendations:</w:t>
      </w:r>
    </w:p>
    <w:p w14:paraId="72EEFA71" w14:textId="13690BFE" w:rsidR="007F5463" w:rsidRPr="0065647A" w:rsidRDefault="007F5463" w:rsidP="0065647A">
      <w:pPr>
        <w:jc w:val="both"/>
        <w:rPr>
          <w:rFonts w:cstheme="minorHAnsi"/>
          <w:sz w:val="24"/>
          <w:szCs w:val="24"/>
        </w:rPr>
      </w:pPr>
      <w:r w:rsidRPr="0065647A">
        <w:rPr>
          <w:rFonts w:cstheme="minorHAnsi"/>
          <w:sz w:val="24"/>
          <w:szCs w:val="24"/>
        </w:rPr>
        <w:t xml:space="preserve">CXR and </w:t>
      </w:r>
      <w:proofErr w:type="spellStart"/>
      <w:r w:rsidRPr="0065647A">
        <w:rPr>
          <w:rFonts w:cstheme="minorHAnsi"/>
          <w:sz w:val="24"/>
          <w:szCs w:val="24"/>
        </w:rPr>
        <w:t>Quantiferon</w:t>
      </w:r>
      <w:proofErr w:type="spellEnd"/>
      <w:r w:rsidRPr="0065647A">
        <w:rPr>
          <w:rFonts w:cstheme="minorHAnsi"/>
          <w:sz w:val="24"/>
          <w:szCs w:val="24"/>
        </w:rPr>
        <w:t xml:space="preserve"> before starting</w:t>
      </w:r>
    </w:p>
    <w:p w14:paraId="61DF3ADB" w14:textId="3FFDBB42" w:rsidR="007F5463" w:rsidRPr="0065647A" w:rsidRDefault="007F5463" w:rsidP="0065647A">
      <w:pPr>
        <w:jc w:val="both"/>
        <w:rPr>
          <w:rFonts w:cstheme="minorHAnsi"/>
          <w:sz w:val="24"/>
          <w:szCs w:val="24"/>
        </w:rPr>
      </w:pPr>
      <w:r w:rsidRPr="0065647A">
        <w:rPr>
          <w:rFonts w:cstheme="minorHAnsi"/>
          <w:sz w:val="24"/>
          <w:szCs w:val="24"/>
        </w:rPr>
        <w:t xml:space="preserve">Will require regular blood monitoring as per local protocols. </w:t>
      </w:r>
    </w:p>
    <w:p w14:paraId="04059E5C" w14:textId="58A36F20" w:rsidR="007F5463" w:rsidRPr="0065647A" w:rsidRDefault="007F5463" w:rsidP="0065647A">
      <w:pPr>
        <w:jc w:val="both"/>
        <w:rPr>
          <w:rFonts w:cstheme="minorHAnsi"/>
          <w:sz w:val="24"/>
          <w:szCs w:val="24"/>
        </w:rPr>
      </w:pPr>
      <w:r w:rsidRPr="0065647A">
        <w:rPr>
          <w:rFonts w:cstheme="minorHAnsi"/>
          <w:sz w:val="24"/>
          <w:szCs w:val="24"/>
        </w:rPr>
        <w:t>Consider monitoring adalimumab and infliximab levels/antibodies if available.</w:t>
      </w:r>
    </w:p>
    <w:p w14:paraId="10EAF339" w14:textId="6A070AFC" w:rsidR="007F5463" w:rsidRPr="0065647A" w:rsidRDefault="007F5463" w:rsidP="0065647A">
      <w:pPr>
        <w:jc w:val="both"/>
        <w:rPr>
          <w:rFonts w:cstheme="minorHAnsi"/>
          <w:sz w:val="24"/>
          <w:szCs w:val="24"/>
          <w:vertAlign w:val="superscript"/>
        </w:rPr>
      </w:pPr>
      <w:r w:rsidRPr="0065647A">
        <w:rPr>
          <w:rFonts w:cstheme="minorHAnsi"/>
          <w:sz w:val="24"/>
          <w:szCs w:val="24"/>
        </w:rPr>
        <w:t>Consider addition of a co-medication (can be low dose) such as Methotrexate, sulfasalazine, MMF to reduce risk of antibody formation with Adalimumab and Infliximab.</w:t>
      </w:r>
    </w:p>
    <w:p w14:paraId="15A1506A" w14:textId="77777777" w:rsidR="007F5463" w:rsidRPr="0065647A" w:rsidRDefault="007F5463" w:rsidP="0065647A">
      <w:pPr>
        <w:jc w:val="both"/>
        <w:rPr>
          <w:rFonts w:cstheme="minorHAnsi"/>
          <w:b/>
          <w:color w:val="00A2E5"/>
          <w:sz w:val="24"/>
          <w:szCs w:val="24"/>
        </w:rPr>
      </w:pPr>
    </w:p>
    <w:p w14:paraId="41C12D86" w14:textId="04D1B2BB" w:rsidR="007F5463" w:rsidRPr="0065647A" w:rsidRDefault="007F5463" w:rsidP="0065647A">
      <w:pPr>
        <w:jc w:val="both"/>
        <w:rPr>
          <w:rFonts w:cstheme="minorHAnsi"/>
          <w:b/>
          <w:color w:val="00A2E5"/>
          <w:sz w:val="24"/>
          <w:szCs w:val="24"/>
        </w:rPr>
      </w:pPr>
      <w:r w:rsidRPr="0065647A">
        <w:rPr>
          <w:rFonts w:cstheme="minorHAnsi"/>
          <w:b/>
          <w:color w:val="00A2E5"/>
          <w:sz w:val="24"/>
          <w:szCs w:val="24"/>
        </w:rPr>
        <w:t>Bisphosphonates</w:t>
      </w:r>
      <w:r w:rsidR="00FC5032" w:rsidRPr="0065647A">
        <w:rPr>
          <w:rFonts w:cstheme="minorHAnsi"/>
          <w:b/>
          <w:color w:val="00A2E5"/>
          <w:sz w:val="24"/>
          <w:szCs w:val="24"/>
        </w:rPr>
        <w:t xml:space="preserve"> and TNF Inhibitors</w:t>
      </w:r>
    </w:p>
    <w:p w14:paraId="318E8AD5" w14:textId="710F7118" w:rsidR="00AD171D" w:rsidRPr="0065647A" w:rsidRDefault="00AD171D" w:rsidP="0065647A">
      <w:pPr>
        <w:jc w:val="both"/>
        <w:rPr>
          <w:rFonts w:cstheme="minorHAnsi"/>
          <w:b/>
          <w:color w:val="00A2E5"/>
          <w:sz w:val="24"/>
          <w:szCs w:val="24"/>
        </w:rPr>
      </w:pPr>
      <w:r w:rsidRPr="0065647A">
        <w:rPr>
          <w:rFonts w:cstheme="minorHAnsi"/>
          <w:b/>
          <w:color w:val="00A2E5"/>
          <w:sz w:val="24"/>
          <w:szCs w:val="24"/>
        </w:rPr>
        <w:t>Pamidronate</w:t>
      </w:r>
      <w:r w:rsidR="00681BCD" w:rsidRPr="0065647A">
        <w:rPr>
          <w:rFonts w:cstheme="minorHAnsi"/>
          <w:b/>
          <w:color w:val="00A2E5"/>
          <w:sz w:val="24"/>
          <w:szCs w:val="24"/>
        </w:rPr>
        <w:t xml:space="preserve"> and </w:t>
      </w:r>
      <w:proofErr w:type="spellStart"/>
      <w:r w:rsidR="00681BCD" w:rsidRPr="0065647A">
        <w:rPr>
          <w:rFonts w:cstheme="minorHAnsi"/>
          <w:b/>
          <w:color w:val="00A2E5"/>
          <w:sz w:val="24"/>
          <w:szCs w:val="24"/>
        </w:rPr>
        <w:t>Zolendronic</w:t>
      </w:r>
      <w:proofErr w:type="spellEnd"/>
      <w:r w:rsidR="00681BCD" w:rsidRPr="0065647A">
        <w:rPr>
          <w:rFonts w:cstheme="minorHAnsi"/>
          <w:b/>
          <w:color w:val="00A2E5"/>
          <w:sz w:val="24"/>
          <w:szCs w:val="24"/>
        </w:rPr>
        <w:t xml:space="preserve"> Acid</w:t>
      </w:r>
    </w:p>
    <w:p w14:paraId="55F7B668" w14:textId="5D476C5B" w:rsidR="00681BCD" w:rsidRPr="0065647A" w:rsidRDefault="00681BCD" w:rsidP="0065647A">
      <w:pPr>
        <w:jc w:val="both"/>
        <w:rPr>
          <w:rFonts w:cstheme="minorHAnsi"/>
          <w:color w:val="212121"/>
          <w:sz w:val="24"/>
          <w:szCs w:val="24"/>
          <w:shd w:val="clear" w:color="auto" w:fill="FFFFFF"/>
        </w:rPr>
      </w:pPr>
      <w:r w:rsidRPr="0065647A">
        <w:rPr>
          <w:rStyle w:val="Strong"/>
          <w:rFonts w:cstheme="minorHAnsi"/>
          <w:b w:val="0"/>
          <w:bCs w:val="0"/>
          <w:color w:val="212121"/>
          <w:sz w:val="24"/>
          <w:szCs w:val="24"/>
          <w:shd w:val="clear" w:color="auto" w:fill="FFFFFF"/>
        </w:rPr>
        <w:lastRenderedPageBreak/>
        <w:t>Bisphosphonates</w:t>
      </w:r>
      <w:r w:rsidRPr="0065647A">
        <w:rPr>
          <w:rFonts w:cstheme="minorHAnsi"/>
          <w:color w:val="212121"/>
          <w:sz w:val="24"/>
          <w:szCs w:val="24"/>
          <w:shd w:val="clear" w:color="auto" w:fill="FFFFFF"/>
        </w:rPr>
        <w:t> inhibit osteoclast activity, thereby likely stopping inflammatory bone loss. Pamidronate furthermore has inhibitory effects on pro-inflammatory cytokine expression [</w:t>
      </w:r>
      <w:hyperlink r:id="rId15" w:anchor="bib68" w:history="1">
        <w:r w:rsidRPr="0065647A">
          <w:rPr>
            <w:rStyle w:val="Hyperlink"/>
            <w:rFonts w:cstheme="minorHAnsi"/>
            <w:color w:val="376FAA"/>
            <w:sz w:val="24"/>
            <w:szCs w:val="24"/>
            <w:shd w:val="clear" w:color="auto" w:fill="FFFFFF"/>
          </w:rPr>
          <w:t>68</w:t>
        </w:r>
      </w:hyperlink>
      <w:r w:rsidRPr="0065647A">
        <w:rPr>
          <w:rFonts w:cstheme="minorHAnsi"/>
          <w:color w:val="212121"/>
          <w:sz w:val="24"/>
          <w:szCs w:val="24"/>
          <w:shd w:val="clear" w:color="auto" w:fill="FFFFFF"/>
        </w:rPr>
        <w:t>].</w:t>
      </w:r>
    </w:p>
    <w:p w14:paraId="1814D825" w14:textId="61BE73C2" w:rsidR="00681BCD" w:rsidRPr="0065647A" w:rsidRDefault="00681BCD" w:rsidP="0065647A">
      <w:pPr>
        <w:jc w:val="both"/>
        <w:rPr>
          <w:rFonts w:cstheme="minorHAnsi"/>
          <w:color w:val="212121"/>
          <w:sz w:val="24"/>
          <w:szCs w:val="24"/>
          <w:shd w:val="clear" w:color="auto" w:fill="FFFFFF"/>
        </w:rPr>
      </w:pPr>
      <w:r w:rsidRPr="0065647A">
        <w:rPr>
          <w:rFonts w:cstheme="minorHAnsi"/>
          <w:color w:val="212121"/>
          <w:sz w:val="24"/>
          <w:szCs w:val="24"/>
          <w:shd w:val="clear" w:color="auto" w:fill="FFFFFF"/>
        </w:rPr>
        <w:t>Different treatment regimens have been reported and are commonly used in clinical practice: 1 ​mg/kg/dose (max. 60 mg/dose) every month, or 1 ​mg/kg/dose (max. 60 mg/dose) on 3 consecutive days every 3 months for 9–12 months.  Another approach is to implement these on an ad hoc/as required basis, rather than giving regularly.  Treatment regimen is at the discretion of the responsible clinician.</w:t>
      </w:r>
    </w:p>
    <w:p w14:paraId="626BBE67" w14:textId="145D0720" w:rsidR="00681BCD" w:rsidRPr="0065647A" w:rsidRDefault="00681BCD" w:rsidP="0065647A">
      <w:pPr>
        <w:jc w:val="both"/>
        <w:rPr>
          <w:rFonts w:cstheme="minorHAnsi"/>
          <w:b/>
          <w:color w:val="00A2E5"/>
          <w:sz w:val="24"/>
          <w:szCs w:val="24"/>
        </w:rPr>
      </w:pPr>
      <w:r w:rsidRPr="0065647A">
        <w:rPr>
          <w:rFonts w:cstheme="minorHAnsi"/>
          <w:color w:val="212121"/>
          <w:sz w:val="24"/>
          <w:szCs w:val="24"/>
          <w:shd w:val="clear" w:color="auto" w:fill="FFFFFF"/>
        </w:rPr>
        <w:t>Because of potential side-effects and the long biological half-life of bisphosphonates, they should only be considered in otherwise treatment refractory cases or in individuals with primary vertebral involvement and structural damage [</w:t>
      </w:r>
      <w:hyperlink r:id="rId16" w:anchor="bib55" w:history="1">
        <w:r w:rsidRPr="0065647A">
          <w:rPr>
            <w:rStyle w:val="Hyperlink"/>
            <w:rFonts w:cstheme="minorHAnsi"/>
            <w:color w:val="376FAA"/>
            <w:sz w:val="24"/>
            <w:szCs w:val="24"/>
            <w:shd w:val="clear" w:color="auto" w:fill="FFFFFF"/>
          </w:rPr>
          <w:t>55</w:t>
        </w:r>
      </w:hyperlink>
      <w:r w:rsidRPr="0065647A">
        <w:rPr>
          <w:rFonts w:cstheme="minorHAnsi"/>
          <w:color w:val="212121"/>
          <w:sz w:val="24"/>
          <w:szCs w:val="24"/>
          <w:shd w:val="clear" w:color="auto" w:fill="FFFFFF"/>
        </w:rPr>
        <w:t>,</w:t>
      </w:r>
      <w:hyperlink r:id="rId17" w:anchor="bib68" w:history="1">
        <w:r w:rsidRPr="0065647A">
          <w:rPr>
            <w:rStyle w:val="Hyperlink"/>
            <w:rFonts w:cstheme="minorHAnsi"/>
            <w:color w:val="376FAA"/>
            <w:sz w:val="24"/>
            <w:szCs w:val="24"/>
            <w:shd w:val="clear" w:color="auto" w:fill="FFFFFF"/>
          </w:rPr>
          <w:t>68</w:t>
        </w:r>
      </w:hyperlink>
      <w:r w:rsidRPr="0065647A">
        <w:rPr>
          <w:rFonts w:cstheme="minorHAnsi"/>
          <w:color w:val="212121"/>
          <w:sz w:val="24"/>
          <w:szCs w:val="24"/>
          <w:shd w:val="clear" w:color="auto" w:fill="FFFFFF"/>
        </w:rPr>
        <w:t>].</w:t>
      </w:r>
    </w:p>
    <w:p w14:paraId="0E76BB83" w14:textId="77777777" w:rsidR="00681BCD" w:rsidRPr="0065647A" w:rsidRDefault="00681BCD" w:rsidP="0065647A">
      <w:pPr>
        <w:jc w:val="both"/>
        <w:rPr>
          <w:rFonts w:cstheme="minorHAnsi"/>
          <w:sz w:val="24"/>
          <w:szCs w:val="24"/>
        </w:rPr>
      </w:pPr>
      <w:r w:rsidRPr="0065647A">
        <w:rPr>
          <w:rFonts w:cstheme="minorHAnsi"/>
          <w:sz w:val="24"/>
          <w:szCs w:val="24"/>
        </w:rPr>
        <w:t>Evidence:</w:t>
      </w:r>
    </w:p>
    <w:p w14:paraId="61DDF61A" w14:textId="77777777" w:rsidR="00AD171D" w:rsidRPr="0065647A" w:rsidRDefault="00AD171D" w:rsidP="0065647A">
      <w:pPr>
        <w:jc w:val="both"/>
        <w:rPr>
          <w:rFonts w:cstheme="minorHAnsi"/>
          <w:color w:val="212121"/>
          <w:sz w:val="24"/>
          <w:szCs w:val="24"/>
          <w:shd w:val="clear" w:color="auto" w:fill="FFFFFF"/>
        </w:rPr>
      </w:pPr>
      <w:r w:rsidRPr="0065647A">
        <w:rPr>
          <w:rFonts w:cstheme="minorHAnsi"/>
          <w:color w:val="212121"/>
          <w:sz w:val="24"/>
          <w:szCs w:val="24"/>
          <w:shd w:val="clear" w:color="auto" w:fill="FFFFFF"/>
        </w:rPr>
        <w:t xml:space="preserve">A small number of articles have reported treatment of CNO with Pamidronate. </w:t>
      </w:r>
    </w:p>
    <w:p w14:paraId="3A7EB7A3" w14:textId="77777777" w:rsidR="00AD171D" w:rsidRPr="0065647A" w:rsidRDefault="00AD171D" w:rsidP="0065647A">
      <w:pPr>
        <w:jc w:val="both"/>
        <w:rPr>
          <w:rFonts w:cstheme="minorHAnsi"/>
          <w:color w:val="212121"/>
          <w:sz w:val="24"/>
          <w:szCs w:val="24"/>
          <w:shd w:val="clear" w:color="auto" w:fill="FFFFFF"/>
        </w:rPr>
      </w:pPr>
      <w:r w:rsidRPr="0065647A">
        <w:rPr>
          <w:rFonts w:cstheme="minorHAnsi"/>
          <w:color w:val="212121"/>
          <w:sz w:val="24"/>
          <w:szCs w:val="24"/>
          <w:shd w:val="clear" w:color="auto" w:fill="FFFFFF"/>
        </w:rPr>
        <w:t>Kerrison and colleagues reported significant pain relief and improved activity and well-being with pamidronate use in seven children (three with spinal lesions) who failed NSAIDs</w:t>
      </w:r>
      <w:r w:rsidRPr="0065647A">
        <w:rPr>
          <w:rFonts w:cstheme="minorHAnsi"/>
          <w:color w:val="212121"/>
          <w:sz w:val="24"/>
          <w:szCs w:val="24"/>
          <w:shd w:val="clear" w:color="auto" w:fill="FFFFFF"/>
          <w:vertAlign w:val="superscript"/>
        </w:rPr>
        <w:t>10</w:t>
      </w:r>
      <w:r w:rsidRPr="0065647A">
        <w:rPr>
          <w:rFonts w:cstheme="minorHAnsi"/>
          <w:color w:val="212121"/>
          <w:sz w:val="24"/>
          <w:szCs w:val="24"/>
          <w:shd w:val="clear" w:color="auto" w:fill="FFFFFF"/>
        </w:rPr>
        <w:t>.</w:t>
      </w:r>
    </w:p>
    <w:p w14:paraId="6522440E" w14:textId="1C079465" w:rsidR="00AD171D" w:rsidRPr="0065647A" w:rsidRDefault="00AD171D" w:rsidP="0065647A">
      <w:pPr>
        <w:jc w:val="both"/>
        <w:rPr>
          <w:rFonts w:cstheme="minorHAnsi"/>
          <w:color w:val="212121"/>
          <w:sz w:val="24"/>
          <w:szCs w:val="24"/>
          <w:shd w:val="clear" w:color="auto" w:fill="FFFFFF"/>
        </w:rPr>
      </w:pPr>
      <w:proofErr w:type="spellStart"/>
      <w:r w:rsidRPr="0065647A">
        <w:rPr>
          <w:rFonts w:cstheme="minorHAnsi"/>
          <w:color w:val="212121"/>
          <w:sz w:val="24"/>
          <w:szCs w:val="24"/>
          <w:shd w:val="clear" w:color="auto" w:fill="FFFFFF"/>
        </w:rPr>
        <w:t>Simm</w:t>
      </w:r>
      <w:proofErr w:type="spellEnd"/>
      <w:r w:rsidRPr="0065647A">
        <w:rPr>
          <w:rFonts w:cstheme="minorHAnsi"/>
          <w:color w:val="212121"/>
          <w:sz w:val="24"/>
          <w:szCs w:val="24"/>
          <w:shd w:val="clear" w:color="auto" w:fill="FFFFFF"/>
        </w:rPr>
        <w:t> </w:t>
      </w:r>
      <w:r w:rsidRPr="0065647A">
        <w:rPr>
          <w:rStyle w:val="Emphasis"/>
          <w:rFonts w:cstheme="minorHAnsi"/>
          <w:color w:val="212121"/>
          <w:sz w:val="24"/>
          <w:szCs w:val="24"/>
          <w:shd w:val="clear" w:color="auto" w:fill="FFFFFF"/>
        </w:rPr>
        <w:t>et al.</w:t>
      </w:r>
      <w:r w:rsidRPr="0065647A">
        <w:rPr>
          <w:rStyle w:val="Emphasis"/>
          <w:rFonts w:cstheme="minorHAnsi"/>
          <w:color w:val="212121"/>
          <w:sz w:val="24"/>
          <w:szCs w:val="24"/>
          <w:shd w:val="clear" w:color="auto" w:fill="FFFFFF"/>
          <w:vertAlign w:val="superscript"/>
        </w:rPr>
        <w:t>11</w:t>
      </w:r>
      <w:r w:rsidRPr="0065647A">
        <w:rPr>
          <w:rFonts w:cstheme="minorHAnsi"/>
          <w:color w:val="212121"/>
          <w:sz w:val="24"/>
          <w:szCs w:val="24"/>
          <w:shd w:val="clear" w:color="auto" w:fill="FFFFFF"/>
          <w:vertAlign w:val="superscript"/>
        </w:rPr>
        <w:t> </w:t>
      </w:r>
      <w:r w:rsidRPr="0065647A">
        <w:rPr>
          <w:rFonts w:cstheme="minorHAnsi"/>
          <w:color w:val="212121"/>
          <w:sz w:val="24"/>
          <w:szCs w:val="24"/>
          <w:shd w:val="clear" w:color="auto" w:fill="FFFFFF"/>
        </w:rPr>
        <w:t xml:space="preserve">and </w:t>
      </w:r>
      <w:proofErr w:type="spellStart"/>
      <w:r w:rsidRPr="0065647A">
        <w:rPr>
          <w:rFonts w:cstheme="minorHAnsi"/>
          <w:color w:val="212121"/>
          <w:sz w:val="24"/>
          <w:szCs w:val="24"/>
          <w:shd w:val="clear" w:color="auto" w:fill="FFFFFF"/>
        </w:rPr>
        <w:t>Miettunen</w:t>
      </w:r>
      <w:proofErr w:type="spellEnd"/>
      <w:r w:rsidRPr="0065647A">
        <w:rPr>
          <w:rFonts w:cstheme="minorHAnsi"/>
          <w:color w:val="212121"/>
          <w:sz w:val="24"/>
          <w:szCs w:val="24"/>
          <w:shd w:val="clear" w:color="auto" w:fill="FFFFFF"/>
        </w:rPr>
        <w:t> </w:t>
      </w:r>
      <w:r w:rsidRPr="0065647A">
        <w:rPr>
          <w:rStyle w:val="Emphasis"/>
          <w:rFonts w:cstheme="minorHAnsi"/>
          <w:color w:val="212121"/>
          <w:sz w:val="24"/>
          <w:szCs w:val="24"/>
          <w:shd w:val="clear" w:color="auto" w:fill="FFFFFF"/>
        </w:rPr>
        <w:t>et al</w:t>
      </w:r>
      <w:r w:rsidRPr="0065647A">
        <w:rPr>
          <w:rStyle w:val="Emphasis"/>
          <w:rFonts w:cstheme="minorHAnsi"/>
          <w:color w:val="212121"/>
          <w:sz w:val="24"/>
          <w:szCs w:val="24"/>
          <w:shd w:val="clear" w:color="auto" w:fill="FFFFFF"/>
          <w:vertAlign w:val="superscript"/>
        </w:rPr>
        <w:t>12</w:t>
      </w:r>
      <w:r w:rsidRPr="0065647A">
        <w:rPr>
          <w:rFonts w:cstheme="minorHAnsi"/>
          <w:color w:val="212121"/>
          <w:sz w:val="24"/>
          <w:szCs w:val="24"/>
          <w:shd w:val="clear" w:color="auto" w:fill="FFFFFF"/>
        </w:rPr>
        <w:t xml:space="preserve"> demonstrated the effectiveness of Pamidronate in children with CNO refractory to NSAIDs. Over 80% of patients had pain relief and more than 90% of patients in </w:t>
      </w:r>
      <w:proofErr w:type="spellStart"/>
      <w:r w:rsidRPr="0065647A">
        <w:rPr>
          <w:rFonts w:cstheme="minorHAnsi"/>
          <w:color w:val="212121"/>
          <w:sz w:val="24"/>
          <w:szCs w:val="24"/>
          <w:shd w:val="clear" w:color="auto" w:fill="FFFFFF"/>
        </w:rPr>
        <w:t>Miettunen’s</w:t>
      </w:r>
      <w:proofErr w:type="spellEnd"/>
      <w:r w:rsidRPr="0065647A">
        <w:rPr>
          <w:rFonts w:cstheme="minorHAnsi"/>
          <w:color w:val="212121"/>
          <w:sz w:val="24"/>
          <w:szCs w:val="24"/>
          <w:shd w:val="clear" w:color="auto" w:fill="FFFFFF"/>
        </w:rPr>
        <w:t xml:space="preserve"> study showed resolution of bone lesions on MRI after six months of treatment. Gleeson and colleagues reported pain relief with pamidronate in six of seven children who failed NSAIDs</w:t>
      </w:r>
      <w:r w:rsidRPr="0065647A">
        <w:rPr>
          <w:rFonts w:cstheme="minorHAnsi"/>
          <w:color w:val="212121"/>
          <w:sz w:val="24"/>
          <w:szCs w:val="24"/>
          <w:shd w:val="clear" w:color="auto" w:fill="FFFFFF"/>
          <w:vertAlign w:val="superscript"/>
        </w:rPr>
        <w:t>13</w:t>
      </w:r>
      <w:r w:rsidRPr="0065647A">
        <w:rPr>
          <w:rFonts w:cstheme="minorHAnsi"/>
          <w:color w:val="212121"/>
          <w:sz w:val="24"/>
          <w:szCs w:val="24"/>
          <w:shd w:val="clear" w:color="auto" w:fill="FFFFFF"/>
        </w:rPr>
        <w:t xml:space="preserve">.  Of five children with spinal fractures, three had follow-up x-rays showing regression of height loss in affected vertebrae in response to pamidronate therapy. </w:t>
      </w:r>
      <w:proofErr w:type="spellStart"/>
      <w:r w:rsidRPr="0065647A">
        <w:rPr>
          <w:rFonts w:cstheme="minorHAnsi"/>
          <w:color w:val="212121"/>
          <w:sz w:val="24"/>
          <w:szCs w:val="24"/>
          <w:shd w:val="clear" w:color="auto" w:fill="FFFFFF"/>
        </w:rPr>
        <w:t>Hospach</w:t>
      </w:r>
      <w:proofErr w:type="spellEnd"/>
      <w:r w:rsidRPr="0065647A">
        <w:rPr>
          <w:rFonts w:cstheme="minorHAnsi"/>
          <w:color w:val="212121"/>
          <w:sz w:val="24"/>
          <w:szCs w:val="24"/>
          <w:shd w:val="clear" w:color="auto" w:fill="FFFFFF"/>
        </w:rPr>
        <w:t> </w:t>
      </w:r>
      <w:r w:rsidRPr="0065647A">
        <w:rPr>
          <w:rStyle w:val="Emphasis"/>
          <w:rFonts w:cstheme="minorHAnsi"/>
          <w:color w:val="212121"/>
          <w:sz w:val="24"/>
          <w:szCs w:val="24"/>
          <w:shd w:val="clear" w:color="auto" w:fill="FFFFFF"/>
        </w:rPr>
        <w:t>et al</w:t>
      </w:r>
      <w:r w:rsidRPr="0065647A">
        <w:rPr>
          <w:rFonts w:cstheme="minorHAnsi"/>
          <w:color w:val="212121"/>
          <w:sz w:val="24"/>
          <w:szCs w:val="24"/>
          <w:shd w:val="clear" w:color="auto" w:fill="FFFFFF"/>
        </w:rPr>
        <w:t>.</w:t>
      </w:r>
      <w:r w:rsidRPr="0065647A">
        <w:rPr>
          <w:rFonts w:cstheme="minorHAnsi"/>
          <w:color w:val="212121"/>
          <w:sz w:val="24"/>
          <w:szCs w:val="24"/>
          <w:shd w:val="clear" w:color="auto" w:fill="FFFFFF"/>
          <w:vertAlign w:val="superscript"/>
        </w:rPr>
        <w:t>14</w:t>
      </w:r>
      <w:r w:rsidRPr="0065647A">
        <w:rPr>
          <w:rFonts w:cstheme="minorHAnsi"/>
          <w:color w:val="212121"/>
          <w:sz w:val="24"/>
          <w:szCs w:val="24"/>
          <w:shd w:val="clear" w:color="auto" w:fill="FFFFFF"/>
        </w:rPr>
        <w:t xml:space="preserve"> reported complete resolution of hyperintensity signal of active spinal lesions after three to six cycles of pamidronate and a median interval of 13 months follow-up with MRI in eight of nine children with CNO refractory to NSAIDs. Roderick </w:t>
      </w:r>
      <w:r w:rsidRPr="0065647A">
        <w:rPr>
          <w:rStyle w:val="Emphasis"/>
          <w:rFonts w:cstheme="minorHAnsi"/>
          <w:color w:val="212121"/>
          <w:sz w:val="24"/>
          <w:szCs w:val="24"/>
          <w:shd w:val="clear" w:color="auto" w:fill="FFFFFF"/>
        </w:rPr>
        <w:t>et al.</w:t>
      </w:r>
      <w:r w:rsidRPr="0065647A">
        <w:rPr>
          <w:rFonts w:cstheme="minorHAnsi"/>
          <w:color w:val="212121"/>
          <w:sz w:val="24"/>
          <w:szCs w:val="24"/>
          <w:shd w:val="clear" w:color="auto" w:fill="FFFFFF"/>
        </w:rPr>
        <w:t> treated 11 children with CNO refractory to NSAIDs with four cycles of pamidronate at 1 mg/kg/day on three consecutive days every three months</w:t>
      </w:r>
      <w:r w:rsidR="00411E56" w:rsidRPr="0065647A">
        <w:rPr>
          <w:rFonts w:cstheme="minorHAnsi"/>
          <w:color w:val="212121"/>
          <w:sz w:val="24"/>
          <w:szCs w:val="24"/>
          <w:shd w:val="clear" w:color="auto" w:fill="FFFFFF"/>
          <w:vertAlign w:val="superscript"/>
        </w:rPr>
        <w:t>15</w:t>
      </w:r>
      <w:r w:rsidRPr="0065647A">
        <w:rPr>
          <w:rFonts w:cstheme="minorHAnsi"/>
          <w:color w:val="212121"/>
          <w:sz w:val="24"/>
          <w:szCs w:val="24"/>
          <w:shd w:val="clear" w:color="auto" w:fill="FFFFFF"/>
        </w:rPr>
        <w:t xml:space="preserve">. Two patients </w:t>
      </w:r>
      <w:r w:rsidR="00411E56" w:rsidRPr="0065647A">
        <w:rPr>
          <w:rFonts w:cstheme="minorHAnsi"/>
          <w:color w:val="212121"/>
          <w:sz w:val="24"/>
          <w:szCs w:val="24"/>
          <w:shd w:val="clear" w:color="auto" w:fill="FFFFFF"/>
        </w:rPr>
        <w:t>showed</w:t>
      </w:r>
      <w:r w:rsidRPr="0065647A">
        <w:rPr>
          <w:rFonts w:cstheme="minorHAnsi"/>
          <w:color w:val="212121"/>
          <w:sz w:val="24"/>
          <w:szCs w:val="24"/>
          <w:shd w:val="clear" w:color="auto" w:fill="FFFFFF"/>
        </w:rPr>
        <w:t xml:space="preserve"> a good response, six a moderate response, one a mild response, while two failed to respond based on repeated </w:t>
      </w:r>
      <w:proofErr w:type="gramStart"/>
      <w:r w:rsidRPr="0065647A">
        <w:rPr>
          <w:rFonts w:cstheme="minorHAnsi"/>
          <w:color w:val="212121"/>
          <w:sz w:val="24"/>
          <w:szCs w:val="24"/>
          <w:shd w:val="clear" w:color="auto" w:fill="FFFFFF"/>
        </w:rPr>
        <w:t>whole body</w:t>
      </w:r>
      <w:proofErr w:type="gramEnd"/>
      <w:r w:rsidRPr="0065647A">
        <w:rPr>
          <w:rFonts w:cstheme="minorHAnsi"/>
          <w:color w:val="212121"/>
          <w:sz w:val="24"/>
          <w:szCs w:val="24"/>
          <w:shd w:val="clear" w:color="auto" w:fill="FFFFFF"/>
        </w:rPr>
        <w:t xml:space="preserve"> MRIs. Schnabel </w:t>
      </w:r>
      <w:r w:rsidRPr="0065647A">
        <w:rPr>
          <w:rStyle w:val="Emphasis"/>
          <w:rFonts w:cstheme="minorHAnsi"/>
          <w:color w:val="212121"/>
          <w:sz w:val="24"/>
          <w:szCs w:val="24"/>
          <w:shd w:val="clear" w:color="auto" w:fill="FFFFFF"/>
        </w:rPr>
        <w:t>et al.</w:t>
      </w:r>
      <w:r w:rsidRPr="0065647A">
        <w:rPr>
          <w:rFonts w:cstheme="minorHAnsi"/>
          <w:color w:val="212121"/>
          <w:sz w:val="24"/>
          <w:szCs w:val="24"/>
          <w:shd w:val="clear" w:color="auto" w:fill="FFFFFF"/>
        </w:rPr>
        <w:t xml:space="preserve"> described pamidronate to be highly effective in CNO </w:t>
      </w:r>
      <w:proofErr w:type="gramStart"/>
      <w:r w:rsidRPr="0065647A">
        <w:rPr>
          <w:rFonts w:cstheme="minorHAnsi"/>
          <w:color w:val="212121"/>
          <w:sz w:val="24"/>
          <w:szCs w:val="24"/>
          <w:shd w:val="clear" w:color="auto" w:fill="FFFFFF"/>
        </w:rPr>
        <w:t>patients</w:t>
      </w:r>
      <w:proofErr w:type="gramEnd"/>
      <w:r w:rsidRPr="0065647A">
        <w:rPr>
          <w:rFonts w:cstheme="minorHAnsi"/>
          <w:color w:val="212121"/>
          <w:sz w:val="24"/>
          <w:szCs w:val="24"/>
          <w:shd w:val="clear" w:color="auto" w:fill="FFFFFF"/>
        </w:rPr>
        <w:t xml:space="preserve"> refractory to standard treatment with NSAIDs and/or glucocorticoids</w:t>
      </w:r>
      <w:r w:rsidR="00411E56" w:rsidRPr="0065647A">
        <w:rPr>
          <w:rFonts w:cstheme="minorHAnsi"/>
          <w:color w:val="212121"/>
          <w:sz w:val="24"/>
          <w:szCs w:val="24"/>
          <w:shd w:val="clear" w:color="auto" w:fill="FFFFFF"/>
          <w:vertAlign w:val="superscript"/>
        </w:rPr>
        <w:t>16</w:t>
      </w:r>
      <w:r w:rsidRPr="0065647A">
        <w:rPr>
          <w:rFonts w:cstheme="minorHAnsi"/>
          <w:color w:val="212121"/>
          <w:sz w:val="24"/>
          <w:szCs w:val="24"/>
          <w:shd w:val="clear" w:color="auto" w:fill="FFFFFF"/>
        </w:rPr>
        <w:t>.</w:t>
      </w:r>
    </w:p>
    <w:p w14:paraId="2D9E14B2" w14:textId="72F08EB4" w:rsidR="00FF5D30" w:rsidRPr="0065647A" w:rsidRDefault="00FF5D30" w:rsidP="0065647A">
      <w:pPr>
        <w:pStyle w:val="NormalWeb"/>
        <w:shd w:val="clear" w:color="auto" w:fill="FFFFFF"/>
        <w:jc w:val="both"/>
        <w:rPr>
          <w:rFonts w:asciiTheme="minorHAnsi" w:hAnsiTheme="minorHAnsi" w:cstheme="minorHAnsi"/>
          <w:color w:val="212121"/>
        </w:rPr>
      </w:pPr>
      <w:r w:rsidRPr="0065647A">
        <w:rPr>
          <w:rFonts w:asciiTheme="minorHAnsi" w:hAnsiTheme="minorHAnsi" w:cstheme="minorHAnsi"/>
        </w:rPr>
        <w:t>A small</w:t>
      </w:r>
      <w:r w:rsidR="00F4284A" w:rsidRPr="0065647A">
        <w:rPr>
          <w:rFonts w:asciiTheme="minorHAnsi" w:hAnsiTheme="minorHAnsi" w:cstheme="minorHAnsi"/>
        </w:rPr>
        <w:t>,</w:t>
      </w:r>
      <w:r w:rsidRPr="0065647A">
        <w:rPr>
          <w:rFonts w:asciiTheme="minorHAnsi" w:hAnsiTheme="minorHAnsi" w:cstheme="minorHAnsi"/>
        </w:rPr>
        <w:t xml:space="preserve"> </w:t>
      </w:r>
      <w:r w:rsidRPr="0065647A">
        <w:rPr>
          <w:rFonts w:asciiTheme="minorHAnsi" w:hAnsiTheme="minorHAnsi" w:cstheme="minorHAnsi"/>
          <w:color w:val="212121"/>
          <w:shd w:val="clear" w:color="auto" w:fill="FFFFFF"/>
        </w:rPr>
        <w:t xml:space="preserve">randomized double-blinded, placebo-controlled pilot trial of 14 patients </w:t>
      </w:r>
      <w:r w:rsidR="0051373D" w:rsidRPr="0065647A">
        <w:rPr>
          <w:rFonts w:asciiTheme="minorHAnsi" w:hAnsiTheme="minorHAnsi" w:cstheme="minorHAnsi"/>
          <w:color w:val="212121"/>
          <w:shd w:val="clear" w:color="auto" w:fill="FFFFFF"/>
        </w:rPr>
        <w:t xml:space="preserve">by Andreasen et al, </w:t>
      </w:r>
      <w:r w:rsidRPr="0065647A">
        <w:rPr>
          <w:rFonts w:asciiTheme="minorHAnsi" w:hAnsiTheme="minorHAnsi" w:cstheme="minorHAnsi"/>
          <w:color w:val="212121"/>
          <w:shd w:val="clear" w:color="auto" w:fill="FFFFFF"/>
        </w:rPr>
        <w:t>investigate</w:t>
      </w:r>
      <w:r w:rsidR="0051373D" w:rsidRPr="0065647A">
        <w:rPr>
          <w:rFonts w:asciiTheme="minorHAnsi" w:hAnsiTheme="minorHAnsi" w:cstheme="minorHAnsi"/>
          <w:color w:val="212121"/>
          <w:shd w:val="clear" w:color="auto" w:fill="FFFFFF"/>
        </w:rPr>
        <w:t>d</w:t>
      </w:r>
      <w:r w:rsidRPr="0065647A">
        <w:rPr>
          <w:rFonts w:asciiTheme="minorHAnsi" w:hAnsiTheme="minorHAnsi" w:cstheme="minorHAnsi"/>
          <w:color w:val="212121"/>
          <w:shd w:val="clear" w:color="auto" w:fill="FFFFFF"/>
        </w:rPr>
        <w:t xml:space="preserve"> the efficacy of </w:t>
      </w:r>
      <w:r w:rsidR="00AD171D" w:rsidRPr="0065647A">
        <w:rPr>
          <w:rFonts w:asciiTheme="minorHAnsi" w:hAnsiTheme="minorHAnsi" w:cstheme="minorHAnsi"/>
          <w:color w:val="212121"/>
          <w:shd w:val="clear" w:color="auto" w:fill="FFFFFF"/>
        </w:rPr>
        <w:t>P</w:t>
      </w:r>
      <w:r w:rsidRPr="0065647A">
        <w:rPr>
          <w:rFonts w:asciiTheme="minorHAnsi" w:hAnsiTheme="minorHAnsi" w:cstheme="minorHAnsi"/>
          <w:color w:val="212121"/>
          <w:shd w:val="clear" w:color="auto" w:fill="FFFFFF"/>
        </w:rPr>
        <w:t xml:space="preserve">amidronate in reducing radiological and clinical disease activity in CNO.  </w:t>
      </w:r>
      <w:r w:rsidRPr="0065647A">
        <w:rPr>
          <w:rFonts w:asciiTheme="minorHAnsi" w:hAnsiTheme="minorHAnsi" w:cstheme="minorHAnsi"/>
          <w:color w:val="212121"/>
        </w:rPr>
        <w:t xml:space="preserve">From baseline to week 36, the radiological disease activity score (using CT of anterior chest wall) decreased from 5 [4-7] to 2.5 [1-3] in the pamidronate </w:t>
      </w:r>
      <w:proofErr w:type="gramStart"/>
      <w:r w:rsidRPr="0065647A">
        <w:rPr>
          <w:rFonts w:asciiTheme="minorHAnsi" w:hAnsiTheme="minorHAnsi" w:cstheme="minorHAnsi"/>
          <w:color w:val="212121"/>
        </w:rPr>
        <w:t>group, but</w:t>
      </w:r>
      <w:proofErr w:type="gramEnd"/>
      <w:r w:rsidRPr="0065647A">
        <w:rPr>
          <w:rFonts w:asciiTheme="minorHAnsi" w:hAnsiTheme="minorHAnsi" w:cstheme="minorHAnsi"/>
          <w:color w:val="212121"/>
        </w:rPr>
        <w:t xml:space="preserve"> did not change in the placebo group (p = 0.04). From baseline to week 36, VAS pain and VAS global health tended to decrease more in the pamidronate than in the placebo group (p = 0.11, p = 0.08). Physical functioning (HAQ) and health-related quality of life (EQ-5D, SF-36) did not change. Biomarkers of bone turnover decreased only in the pamidronate group (p ≤ </w:t>
      </w:r>
      <w:r w:rsidRPr="0065647A">
        <w:rPr>
          <w:rFonts w:asciiTheme="minorHAnsi" w:hAnsiTheme="minorHAnsi" w:cstheme="minorHAnsi"/>
          <w:color w:val="212121"/>
        </w:rPr>
        <w:lastRenderedPageBreak/>
        <w:t>0.02).  The authors concluded that Pamidronate may improve radiological and clinical disease activity in CNO</w:t>
      </w:r>
      <w:r w:rsidR="00BE50EE" w:rsidRPr="0065647A">
        <w:rPr>
          <w:rFonts w:asciiTheme="minorHAnsi" w:hAnsiTheme="minorHAnsi" w:cstheme="minorHAnsi"/>
          <w:color w:val="212121"/>
          <w:vertAlign w:val="superscript"/>
        </w:rPr>
        <w:t>8</w:t>
      </w:r>
      <w:r w:rsidRPr="0065647A">
        <w:rPr>
          <w:rFonts w:asciiTheme="minorHAnsi" w:hAnsiTheme="minorHAnsi" w:cstheme="minorHAnsi"/>
          <w:color w:val="212121"/>
        </w:rPr>
        <w:t xml:space="preserve">. </w:t>
      </w:r>
    </w:p>
    <w:p w14:paraId="2DF352F8" w14:textId="5A7468F5" w:rsidR="00150371" w:rsidRPr="0065647A" w:rsidRDefault="00150371" w:rsidP="0065647A">
      <w:pPr>
        <w:pStyle w:val="NormalWeb"/>
        <w:shd w:val="clear" w:color="auto" w:fill="FFFFFF"/>
        <w:jc w:val="both"/>
        <w:rPr>
          <w:rFonts w:asciiTheme="minorHAnsi" w:hAnsiTheme="minorHAnsi" w:cstheme="minorHAnsi"/>
          <w:color w:val="212121"/>
        </w:rPr>
      </w:pPr>
      <w:r w:rsidRPr="0065647A">
        <w:rPr>
          <w:rFonts w:asciiTheme="minorHAnsi" w:hAnsiTheme="minorHAnsi" w:cstheme="minorHAnsi"/>
          <w:color w:val="212121"/>
        </w:rPr>
        <w:t>A single-centre retrospective study including 51 patients, treated children with multifocal or spinal bone inflammation and clinical disease activity not responding to NSAIDs with an early onset 2-year Pamidronate regimen</w:t>
      </w:r>
      <w:r w:rsidRPr="0065647A">
        <w:rPr>
          <w:rFonts w:asciiTheme="minorHAnsi" w:hAnsiTheme="minorHAnsi" w:cstheme="minorHAnsi"/>
          <w:color w:val="212121"/>
          <w:vertAlign w:val="superscript"/>
        </w:rPr>
        <w:t>9</w:t>
      </w:r>
      <w:r w:rsidRPr="0065647A">
        <w:rPr>
          <w:rFonts w:asciiTheme="minorHAnsi" w:hAnsiTheme="minorHAnsi" w:cstheme="minorHAnsi"/>
          <w:color w:val="212121"/>
        </w:rPr>
        <w:t>. Whole body MRI was performed at time of diagnosis, and at years 1 and 2 in 88%, 84%, and 91% of cases, respectively. During the first year, the total number of radiologically active lesions and number of spinal lesions per patient declined (p = 0.01). Clinically inactive disease was recorded in 12/32 children (38%). However, 8/12 children (67%) experienced clinical relapse.  The authors concluded that Pamidronate might contribute to improvement in clinical and radiological disease activity in such patients, especially after 1 year of treatment. However, children with continuously active disease after 2 years of pamidronate treatment were seen.</w:t>
      </w:r>
    </w:p>
    <w:p w14:paraId="5AC4F2C0" w14:textId="3A65E38D" w:rsidR="00874565" w:rsidRPr="0065647A" w:rsidRDefault="00681BCD" w:rsidP="0065647A">
      <w:pPr>
        <w:pStyle w:val="NormalWeb"/>
        <w:shd w:val="clear" w:color="auto" w:fill="FFFFFF"/>
        <w:jc w:val="both"/>
        <w:rPr>
          <w:rFonts w:asciiTheme="minorHAnsi" w:hAnsiTheme="minorHAnsi" w:cstheme="minorHAnsi"/>
          <w:color w:val="212121"/>
          <w:shd w:val="clear" w:color="auto" w:fill="FFFFFF"/>
        </w:rPr>
      </w:pPr>
      <w:r w:rsidRPr="0065647A">
        <w:rPr>
          <w:rFonts w:asciiTheme="minorHAnsi" w:hAnsiTheme="minorHAnsi" w:cstheme="minorHAnsi"/>
          <w:color w:val="212121"/>
          <w:shd w:val="clear" w:color="auto" w:fill="FFFFFF"/>
        </w:rPr>
        <w:t>Zhao et al. reported rapid response to treatment with zoledronic acid in combination with the TNF inhibitor infliximab. While very promising and effective in a small cohort, the combination of zoledronic acid and infliximab does not allow an assessment of the exact contribution of each therapeutic [</w:t>
      </w:r>
      <w:hyperlink r:id="rId18" w:anchor="bib39" w:history="1">
        <w:r w:rsidRPr="0065647A">
          <w:rPr>
            <w:rStyle w:val="Hyperlink"/>
            <w:rFonts w:asciiTheme="minorHAnsi" w:hAnsiTheme="minorHAnsi" w:cstheme="minorHAnsi"/>
            <w:color w:val="376FAA"/>
            <w:shd w:val="clear" w:color="auto" w:fill="FFFFFF"/>
          </w:rPr>
          <w:t>39</w:t>
        </w:r>
      </w:hyperlink>
      <w:r w:rsidRPr="0065647A">
        <w:rPr>
          <w:rFonts w:asciiTheme="minorHAnsi" w:hAnsiTheme="minorHAnsi" w:cstheme="minorHAnsi"/>
          <w:color w:val="212121"/>
          <w:shd w:val="clear" w:color="auto" w:fill="FFFFFF"/>
        </w:rPr>
        <w:t>].</w:t>
      </w:r>
    </w:p>
    <w:p w14:paraId="71D75D61" w14:textId="7C334A61" w:rsidR="00874565" w:rsidRPr="0065647A" w:rsidRDefault="00874565" w:rsidP="0065647A">
      <w:pPr>
        <w:pStyle w:val="NormalWeb"/>
        <w:shd w:val="clear" w:color="auto" w:fill="FFFFFF"/>
        <w:jc w:val="both"/>
        <w:rPr>
          <w:rFonts w:asciiTheme="minorHAnsi" w:hAnsiTheme="minorHAnsi" w:cstheme="minorHAnsi"/>
          <w:color w:val="212121"/>
          <w:shd w:val="clear" w:color="auto" w:fill="FFFFFF"/>
        </w:rPr>
      </w:pPr>
      <w:r w:rsidRPr="0065647A">
        <w:rPr>
          <w:rFonts w:asciiTheme="minorHAnsi" w:hAnsiTheme="minorHAnsi" w:cstheme="minorHAnsi"/>
          <w:color w:val="212121"/>
          <w:shd w:val="clear" w:color="auto" w:fill="FFFFFF"/>
        </w:rPr>
        <w:t xml:space="preserve">Some paediatric centres use </w:t>
      </w:r>
      <w:proofErr w:type="spellStart"/>
      <w:r w:rsidRPr="0065647A">
        <w:rPr>
          <w:rFonts w:asciiTheme="minorHAnsi" w:hAnsiTheme="minorHAnsi" w:cstheme="minorHAnsi"/>
          <w:color w:val="212121"/>
          <w:shd w:val="clear" w:color="auto" w:fill="FFFFFF"/>
        </w:rPr>
        <w:t>Zolendronic</w:t>
      </w:r>
      <w:proofErr w:type="spellEnd"/>
      <w:r w:rsidRPr="0065647A">
        <w:rPr>
          <w:rFonts w:asciiTheme="minorHAnsi" w:hAnsiTheme="minorHAnsi" w:cstheme="minorHAnsi"/>
          <w:color w:val="212121"/>
          <w:shd w:val="clear" w:color="auto" w:fill="FFFFFF"/>
        </w:rPr>
        <w:t xml:space="preserve"> acid for their CNO patients with reported good effect, though no formal evidence </w:t>
      </w:r>
      <w:proofErr w:type="gramStart"/>
      <w:r w:rsidRPr="0065647A">
        <w:rPr>
          <w:rFonts w:asciiTheme="minorHAnsi" w:hAnsiTheme="minorHAnsi" w:cstheme="minorHAnsi"/>
          <w:color w:val="212121"/>
          <w:shd w:val="clear" w:color="auto" w:fill="FFFFFF"/>
        </w:rPr>
        <w:t>as yet</w:t>
      </w:r>
      <w:proofErr w:type="gramEnd"/>
      <w:r w:rsidRPr="0065647A">
        <w:rPr>
          <w:rFonts w:asciiTheme="minorHAnsi" w:hAnsiTheme="minorHAnsi" w:cstheme="minorHAnsi"/>
          <w:color w:val="212121"/>
          <w:shd w:val="clear" w:color="auto" w:fill="FFFFFF"/>
        </w:rPr>
        <w:t>.</w:t>
      </w:r>
    </w:p>
    <w:p w14:paraId="6C114D3A" w14:textId="3B4085C7" w:rsidR="00681BCD" w:rsidRPr="0065647A" w:rsidRDefault="00681BCD" w:rsidP="0065647A">
      <w:pPr>
        <w:jc w:val="both"/>
        <w:rPr>
          <w:rFonts w:cstheme="minorHAnsi"/>
          <w:sz w:val="24"/>
          <w:szCs w:val="24"/>
        </w:rPr>
      </w:pPr>
      <w:r w:rsidRPr="0065647A">
        <w:rPr>
          <w:rFonts w:cstheme="minorHAnsi"/>
          <w:sz w:val="24"/>
          <w:szCs w:val="24"/>
        </w:rPr>
        <w:t>Recommendations:</w:t>
      </w:r>
    </w:p>
    <w:p w14:paraId="35590082" w14:textId="2AB6C149" w:rsidR="001575C8" w:rsidRPr="0065647A" w:rsidRDefault="001575C8" w:rsidP="0065647A">
      <w:pPr>
        <w:jc w:val="both"/>
        <w:rPr>
          <w:rFonts w:cstheme="minorHAnsi"/>
          <w:sz w:val="24"/>
          <w:szCs w:val="24"/>
        </w:rPr>
      </w:pPr>
      <w:r w:rsidRPr="0065647A">
        <w:rPr>
          <w:rFonts w:cstheme="minorHAnsi"/>
          <w:sz w:val="24"/>
          <w:szCs w:val="24"/>
        </w:rPr>
        <w:t>Bisphosphonates are an appropriate treatment choice for patients with CNO refractory to NSAIDs or those with spinal involvement.</w:t>
      </w:r>
    </w:p>
    <w:p w14:paraId="4021E449" w14:textId="067D2828" w:rsidR="001575C8" w:rsidRPr="0065647A" w:rsidRDefault="001575C8" w:rsidP="0065647A">
      <w:pPr>
        <w:jc w:val="both"/>
        <w:rPr>
          <w:rFonts w:cstheme="minorHAnsi"/>
          <w:sz w:val="24"/>
          <w:szCs w:val="24"/>
        </w:rPr>
      </w:pPr>
      <w:r w:rsidRPr="0065647A">
        <w:rPr>
          <w:rFonts w:cstheme="minorHAnsi"/>
          <w:sz w:val="24"/>
          <w:szCs w:val="24"/>
        </w:rPr>
        <w:t xml:space="preserve">There is more evidence in the literature relating to Pamidronate, however </w:t>
      </w:r>
      <w:proofErr w:type="spellStart"/>
      <w:r w:rsidRPr="0065647A">
        <w:rPr>
          <w:rFonts w:cstheme="minorHAnsi"/>
          <w:sz w:val="24"/>
          <w:szCs w:val="24"/>
        </w:rPr>
        <w:t>Zolendronic</w:t>
      </w:r>
      <w:proofErr w:type="spellEnd"/>
      <w:r w:rsidRPr="0065647A">
        <w:rPr>
          <w:rFonts w:cstheme="minorHAnsi"/>
          <w:sz w:val="24"/>
          <w:szCs w:val="24"/>
        </w:rPr>
        <w:t xml:space="preserve"> acid is used in some paediatric centres and may be particularly advantageous in those patients in whom cannulation is difficult as it can be given less often.</w:t>
      </w:r>
    </w:p>
    <w:p w14:paraId="3D0BECD6" w14:textId="77777777" w:rsidR="00681BCD" w:rsidRPr="0065647A" w:rsidRDefault="00681BCD" w:rsidP="0065647A">
      <w:pPr>
        <w:jc w:val="both"/>
        <w:rPr>
          <w:rFonts w:cstheme="minorHAnsi"/>
          <w:sz w:val="24"/>
          <w:szCs w:val="24"/>
        </w:rPr>
      </w:pPr>
      <w:r w:rsidRPr="0065647A">
        <w:rPr>
          <w:rFonts w:cstheme="minorHAnsi"/>
          <w:sz w:val="24"/>
          <w:szCs w:val="24"/>
        </w:rPr>
        <w:t>Ensure patients have up to date dental review prior to starting</w:t>
      </w:r>
    </w:p>
    <w:p w14:paraId="39076743" w14:textId="10E48FD0" w:rsidR="00681BCD" w:rsidRPr="0065647A" w:rsidRDefault="00681BCD" w:rsidP="0065647A">
      <w:pPr>
        <w:jc w:val="both"/>
        <w:rPr>
          <w:rFonts w:cstheme="minorHAnsi"/>
          <w:sz w:val="24"/>
          <w:szCs w:val="24"/>
        </w:rPr>
      </w:pPr>
      <w:r w:rsidRPr="0065647A">
        <w:rPr>
          <w:rFonts w:cstheme="minorHAnsi"/>
          <w:sz w:val="24"/>
          <w:szCs w:val="24"/>
        </w:rPr>
        <w:t xml:space="preserve">See separate SPARN Protocols for further details – patients will need calcium supplementation/bloods </w:t>
      </w:r>
      <w:proofErr w:type="spellStart"/>
      <w:r w:rsidRPr="0065647A">
        <w:rPr>
          <w:rFonts w:cstheme="minorHAnsi"/>
          <w:sz w:val="24"/>
          <w:szCs w:val="24"/>
        </w:rPr>
        <w:t>pre treatment</w:t>
      </w:r>
      <w:proofErr w:type="spellEnd"/>
      <w:r w:rsidRPr="0065647A">
        <w:rPr>
          <w:rFonts w:cstheme="minorHAnsi"/>
          <w:sz w:val="24"/>
          <w:szCs w:val="24"/>
        </w:rPr>
        <w:t>.</w:t>
      </w:r>
    </w:p>
    <w:p w14:paraId="2B6DCEE5" w14:textId="77777777" w:rsidR="001575C8" w:rsidRPr="0065647A" w:rsidRDefault="001575C8" w:rsidP="0065647A">
      <w:pPr>
        <w:jc w:val="both"/>
        <w:rPr>
          <w:rFonts w:cstheme="minorHAnsi"/>
          <w:sz w:val="24"/>
          <w:szCs w:val="24"/>
        </w:rPr>
      </w:pPr>
    </w:p>
    <w:p w14:paraId="371DB41F" w14:textId="275FC22E" w:rsidR="00150371" w:rsidRPr="0065647A" w:rsidRDefault="00150371" w:rsidP="0065647A">
      <w:pPr>
        <w:jc w:val="both"/>
        <w:rPr>
          <w:rFonts w:cstheme="minorHAnsi"/>
          <w:b/>
          <w:color w:val="00A2E5"/>
          <w:sz w:val="24"/>
          <w:szCs w:val="24"/>
        </w:rPr>
      </w:pPr>
      <w:r w:rsidRPr="0065647A">
        <w:rPr>
          <w:rFonts w:cstheme="minorHAnsi"/>
          <w:b/>
          <w:color w:val="00A2E5"/>
          <w:sz w:val="24"/>
          <w:szCs w:val="24"/>
        </w:rPr>
        <w:t>TNF Inhibitors</w:t>
      </w:r>
    </w:p>
    <w:p w14:paraId="1FA937A7" w14:textId="39C8CC72" w:rsidR="00150371" w:rsidRPr="0065647A" w:rsidRDefault="00150371" w:rsidP="0065647A">
      <w:pPr>
        <w:jc w:val="both"/>
        <w:rPr>
          <w:rFonts w:cstheme="minorHAnsi"/>
          <w:b/>
          <w:color w:val="00A2E5"/>
          <w:sz w:val="24"/>
          <w:szCs w:val="24"/>
        </w:rPr>
      </w:pPr>
    </w:p>
    <w:p w14:paraId="675815E4" w14:textId="36D88787" w:rsidR="00150371" w:rsidRPr="0065647A" w:rsidRDefault="00150371" w:rsidP="0065647A">
      <w:pPr>
        <w:jc w:val="both"/>
        <w:rPr>
          <w:rFonts w:cstheme="minorHAnsi"/>
          <w:b/>
          <w:color w:val="00A2E5"/>
          <w:sz w:val="24"/>
          <w:szCs w:val="24"/>
        </w:rPr>
      </w:pPr>
      <w:r w:rsidRPr="0065647A">
        <w:rPr>
          <w:rFonts w:cstheme="minorHAnsi"/>
          <w:color w:val="212121"/>
          <w:sz w:val="24"/>
          <w:szCs w:val="24"/>
          <w:shd w:val="clear" w:color="auto" w:fill="FFFFFF"/>
        </w:rPr>
        <w:t xml:space="preserve">Published data on the use of </w:t>
      </w:r>
      <w:proofErr w:type="spellStart"/>
      <w:r w:rsidRPr="0065647A">
        <w:rPr>
          <w:rFonts w:cstheme="minorHAnsi"/>
          <w:color w:val="212121"/>
          <w:sz w:val="24"/>
          <w:szCs w:val="24"/>
          <w:shd w:val="clear" w:color="auto" w:fill="FFFFFF"/>
        </w:rPr>
        <w:t>tumor</w:t>
      </w:r>
      <w:proofErr w:type="spellEnd"/>
      <w:r w:rsidRPr="0065647A">
        <w:rPr>
          <w:rFonts w:cstheme="minorHAnsi"/>
          <w:color w:val="212121"/>
          <w:sz w:val="24"/>
          <w:szCs w:val="24"/>
          <w:shd w:val="clear" w:color="auto" w:fill="FFFFFF"/>
        </w:rPr>
        <w:t xml:space="preserve"> necrosis factor (TNF)-alpha inhibitors (</w:t>
      </w:r>
      <w:proofErr w:type="spellStart"/>
      <w:r w:rsidRPr="0065647A">
        <w:rPr>
          <w:rFonts w:cstheme="minorHAnsi"/>
          <w:color w:val="212121"/>
          <w:sz w:val="24"/>
          <w:szCs w:val="24"/>
          <w:shd w:val="clear" w:color="auto" w:fill="FFFFFF"/>
        </w:rPr>
        <w:t>TNFi</w:t>
      </w:r>
      <w:proofErr w:type="spellEnd"/>
      <w:r w:rsidRPr="0065647A">
        <w:rPr>
          <w:rFonts w:cstheme="minorHAnsi"/>
          <w:color w:val="212121"/>
          <w:sz w:val="24"/>
          <w:szCs w:val="24"/>
          <w:shd w:val="clear" w:color="auto" w:fill="FFFFFF"/>
        </w:rPr>
        <w:t xml:space="preserve">) in CNO are more limited. Eight articles have reported treatment of </w:t>
      </w:r>
      <w:proofErr w:type="spellStart"/>
      <w:r w:rsidRPr="0065647A">
        <w:rPr>
          <w:rFonts w:cstheme="minorHAnsi"/>
          <w:color w:val="212121"/>
          <w:sz w:val="24"/>
          <w:szCs w:val="24"/>
          <w:shd w:val="clear" w:color="auto" w:fill="FFFFFF"/>
        </w:rPr>
        <w:t>TNFi</w:t>
      </w:r>
      <w:proofErr w:type="spellEnd"/>
      <w:r w:rsidRPr="0065647A">
        <w:rPr>
          <w:rFonts w:cstheme="minorHAnsi"/>
          <w:color w:val="212121"/>
          <w:sz w:val="24"/>
          <w:szCs w:val="24"/>
          <w:shd w:val="clear" w:color="auto" w:fill="FFFFFF"/>
        </w:rPr>
        <w:t xml:space="preserve"> in CNO with level IV evidence. A small cohort study (n=4) reported by Eleftheriou </w:t>
      </w:r>
      <w:r w:rsidRPr="0065647A">
        <w:rPr>
          <w:rStyle w:val="Emphasis"/>
          <w:rFonts w:cstheme="minorHAnsi"/>
          <w:color w:val="212121"/>
          <w:sz w:val="24"/>
          <w:szCs w:val="24"/>
          <w:shd w:val="clear" w:color="auto" w:fill="FFFFFF"/>
        </w:rPr>
        <w:t>et al.</w:t>
      </w:r>
      <w:r w:rsidRPr="0065647A">
        <w:rPr>
          <w:rFonts w:cstheme="minorHAnsi"/>
          <w:color w:val="212121"/>
          <w:sz w:val="24"/>
          <w:szCs w:val="24"/>
          <w:shd w:val="clear" w:color="auto" w:fill="FFFFFF"/>
        </w:rPr>
        <w:t> showed decreased pain in children with CNO after infliximab treatment (n=3) and anakinra (n=1, later switched to adalimumab) (</w:t>
      </w:r>
      <w:hyperlink r:id="rId19" w:anchor="R16" w:history="1">
        <w:r w:rsidRPr="0065647A">
          <w:rPr>
            <w:rStyle w:val="Hyperlink"/>
            <w:rFonts w:cstheme="minorHAnsi"/>
            <w:color w:val="376FAA"/>
            <w:sz w:val="24"/>
            <w:szCs w:val="24"/>
            <w:shd w:val="clear" w:color="auto" w:fill="FFFFFF"/>
          </w:rPr>
          <w:t>16</w:t>
        </w:r>
      </w:hyperlink>
      <w:r w:rsidRPr="0065647A">
        <w:rPr>
          <w:rFonts w:cstheme="minorHAnsi"/>
          <w:color w:val="212121"/>
          <w:sz w:val="24"/>
          <w:szCs w:val="24"/>
          <w:shd w:val="clear" w:color="auto" w:fill="FFFFFF"/>
        </w:rPr>
        <w:t xml:space="preserve">). </w:t>
      </w:r>
      <w:proofErr w:type="spellStart"/>
      <w:r w:rsidRPr="0065647A">
        <w:rPr>
          <w:rFonts w:cstheme="minorHAnsi"/>
          <w:color w:val="212121"/>
          <w:sz w:val="24"/>
          <w:szCs w:val="24"/>
          <w:shd w:val="clear" w:color="auto" w:fill="FFFFFF"/>
        </w:rPr>
        <w:t>Borzutzky</w:t>
      </w:r>
      <w:proofErr w:type="spellEnd"/>
      <w:r w:rsidRPr="0065647A">
        <w:rPr>
          <w:rFonts w:cstheme="minorHAnsi"/>
          <w:color w:val="212121"/>
          <w:sz w:val="24"/>
          <w:szCs w:val="24"/>
          <w:shd w:val="clear" w:color="auto" w:fill="FFFFFF"/>
        </w:rPr>
        <w:t> </w:t>
      </w:r>
      <w:r w:rsidRPr="0065647A">
        <w:rPr>
          <w:rStyle w:val="Emphasis"/>
          <w:rFonts w:cstheme="minorHAnsi"/>
          <w:color w:val="212121"/>
          <w:sz w:val="24"/>
          <w:szCs w:val="24"/>
          <w:shd w:val="clear" w:color="auto" w:fill="FFFFFF"/>
        </w:rPr>
        <w:t>et al.</w:t>
      </w:r>
      <w:r w:rsidRPr="0065647A">
        <w:rPr>
          <w:rFonts w:cstheme="minorHAnsi"/>
          <w:color w:val="212121"/>
          <w:sz w:val="24"/>
          <w:szCs w:val="24"/>
          <w:shd w:val="clear" w:color="auto" w:fill="FFFFFF"/>
        </w:rPr>
        <w:t> (</w:t>
      </w:r>
      <w:hyperlink r:id="rId20" w:anchor="R17" w:history="1">
        <w:r w:rsidRPr="0065647A">
          <w:rPr>
            <w:rStyle w:val="Hyperlink"/>
            <w:rFonts w:cstheme="minorHAnsi"/>
            <w:color w:val="376FAA"/>
            <w:sz w:val="24"/>
            <w:szCs w:val="24"/>
            <w:shd w:val="clear" w:color="auto" w:fill="FFFFFF"/>
          </w:rPr>
          <w:t>17</w:t>
        </w:r>
      </w:hyperlink>
      <w:r w:rsidRPr="0065647A">
        <w:rPr>
          <w:rFonts w:cstheme="minorHAnsi"/>
          <w:color w:val="212121"/>
          <w:sz w:val="24"/>
          <w:szCs w:val="24"/>
          <w:shd w:val="clear" w:color="auto" w:fill="FFFFFF"/>
        </w:rPr>
        <w:t xml:space="preserve">) and </w:t>
      </w:r>
      <w:proofErr w:type="spellStart"/>
      <w:r w:rsidRPr="0065647A">
        <w:rPr>
          <w:rFonts w:cstheme="minorHAnsi"/>
          <w:color w:val="212121"/>
          <w:sz w:val="24"/>
          <w:szCs w:val="24"/>
          <w:shd w:val="clear" w:color="auto" w:fill="FFFFFF"/>
        </w:rPr>
        <w:t>Wipff</w:t>
      </w:r>
      <w:proofErr w:type="spellEnd"/>
      <w:r w:rsidRPr="0065647A">
        <w:rPr>
          <w:rFonts w:cstheme="minorHAnsi"/>
          <w:color w:val="212121"/>
          <w:sz w:val="24"/>
          <w:szCs w:val="24"/>
          <w:shd w:val="clear" w:color="auto" w:fill="FFFFFF"/>
        </w:rPr>
        <w:t> </w:t>
      </w:r>
      <w:r w:rsidRPr="0065647A">
        <w:rPr>
          <w:rStyle w:val="Emphasis"/>
          <w:rFonts w:cstheme="minorHAnsi"/>
          <w:color w:val="212121"/>
          <w:sz w:val="24"/>
          <w:szCs w:val="24"/>
          <w:shd w:val="clear" w:color="auto" w:fill="FFFFFF"/>
        </w:rPr>
        <w:t>et al.</w:t>
      </w:r>
      <w:r w:rsidRPr="0065647A">
        <w:rPr>
          <w:rFonts w:cstheme="minorHAnsi"/>
          <w:color w:val="212121"/>
          <w:sz w:val="24"/>
          <w:szCs w:val="24"/>
          <w:shd w:val="clear" w:color="auto" w:fill="FFFFFF"/>
        </w:rPr>
        <w:t> (</w:t>
      </w:r>
      <w:hyperlink r:id="rId21" w:anchor="R18" w:history="1">
        <w:r w:rsidRPr="0065647A">
          <w:rPr>
            <w:rStyle w:val="Hyperlink"/>
            <w:rFonts w:cstheme="minorHAnsi"/>
            <w:color w:val="376FAA"/>
            <w:sz w:val="24"/>
            <w:szCs w:val="24"/>
            <w:shd w:val="clear" w:color="auto" w:fill="FFFFFF"/>
          </w:rPr>
          <w:t>18</w:t>
        </w:r>
      </w:hyperlink>
      <w:r w:rsidRPr="0065647A">
        <w:rPr>
          <w:rFonts w:cstheme="minorHAnsi"/>
          <w:color w:val="212121"/>
          <w:sz w:val="24"/>
          <w:szCs w:val="24"/>
          <w:shd w:val="clear" w:color="auto" w:fill="FFFFFF"/>
        </w:rPr>
        <w:t xml:space="preserve">) observed the highest rates of clinical remission (46%) </w:t>
      </w:r>
      <w:r w:rsidRPr="0065647A">
        <w:rPr>
          <w:rFonts w:cstheme="minorHAnsi"/>
          <w:color w:val="212121"/>
          <w:sz w:val="24"/>
          <w:szCs w:val="24"/>
          <w:shd w:val="clear" w:color="auto" w:fill="FFFFFF"/>
        </w:rPr>
        <w:lastRenderedPageBreak/>
        <w:t xml:space="preserve">or efficacy (89%) from </w:t>
      </w:r>
      <w:proofErr w:type="spellStart"/>
      <w:r w:rsidRPr="0065647A">
        <w:rPr>
          <w:rFonts w:cstheme="minorHAnsi"/>
          <w:color w:val="212121"/>
          <w:sz w:val="24"/>
          <w:szCs w:val="24"/>
          <w:shd w:val="clear" w:color="auto" w:fill="FFFFFF"/>
        </w:rPr>
        <w:t>TNFi</w:t>
      </w:r>
      <w:proofErr w:type="spellEnd"/>
      <w:r w:rsidRPr="0065647A">
        <w:rPr>
          <w:rFonts w:cstheme="minorHAnsi"/>
          <w:color w:val="212121"/>
          <w:sz w:val="24"/>
          <w:szCs w:val="24"/>
          <w:shd w:val="clear" w:color="auto" w:fill="FFFFFF"/>
        </w:rPr>
        <w:t xml:space="preserve"> compared to glucocorticoids, methotrexate, sulfasalazine, and NSAIDs. Jansson </w:t>
      </w:r>
      <w:r w:rsidRPr="0065647A">
        <w:rPr>
          <w:rStyle w:val="Emphasis"/>
          <w:rFonts w:cstheme="minorHAnsi"/>
          <w:color w:val="212121"/>
          <w:sz w:val="24"/>
          <w:szCs w:val="24"/>
          <w:shd w:val="clear" w:color="auto" w:fill="FFFFFF"/>
        </w:rPr>
        <w:t>et al.</w:t>
      </w:r>
      <w:r w:rsidRPr="0065647A">
        <w:rPr>
          <w:rFonts w:cstheme="minorHAnsi"/>
          <w:color w:val="212121"/>
          <w:sz w:val="24"/>
          <w:szCs w:val="24"/>
          <w:shd w:val="clear" w:color="auto" w:fill="FFFFFF"/>
        </w:rPr>
        <w:t> (</w:t>
      </w:r>
      <w:hyperlink r:id="rId22" w:anchor="R19" w:history="1">
        <w:r w:rsidRPr="0065647A">
          <w:rPr>
            <w:rStyle w:val="Hyperlink"/>
            <w:rFonts w:cstheme="minorHAnsi"/>
            <w:color w:val="376FAA"/>
            <w:sz w:val="24"/>
            <w:szCs w:val="24"/>
            <w:shd w:val="clear" w:color="auto" w:fill="FFFFFF"/>
          </w:rPr>
          <w:t>19</w:t>
        </w:r>
      </w:hyperlink>
      <w:r w:rsidRPr="0065647A">
        <w:rPr>
          <w:rFonts w:cstheme="minorHAnsi"/>
          <w:color w:val="212121"/>
          <w:sz w:val="24"/>
          <w:szCs w:val="24"/>
          <w:shd w:val="clear" w:color="auto" w:fill="FFFFFF"/>
        </w:rPr>
        <w:t xml:space="preserve">), reported disease remission induced by infliximab in two patients who failed NSAIDs, glucocorticoids, DMARDs, and pamidronate. Recently, a combination of infliximab and methotrexate with or without </w:t>
      </w:r>
      <w:proofErr w:type="spellStart"/>
      <w:r w:rsidRPr="0065647A">
        <w:rPr>
          <w:rFonts w:cstheme="minorHAnsi"/>
          <w:color w:val="212121"/>
          <w:sz w:val="24"/>
          <w:szCs w:val="24"/>
          <w:shd w:val="clear" w:color="auto" w:fill="FFFFFF"/>
        </w:rPr>
        <w:t>zolendronic</w:t>
      </w:r>
      <w:proofErr w:type="spellEnd"/>
      <w:r w:rsidRPr="0065647A">
        <w:rPr>
          <w:rFonts w:cstheme="minorHAnsi"/>
          <w:color w:val="212121"/>
          <w:sz w:val="24"/>
          <w:szCs w:val="24"/>
          <w:shd w:val="clear" w:color="auto" w:fill="FFFFFF"/>
        </w:rPr>
        <w:t xml:space="preserve"> acid significantly improved clinical, laboratory, and imaging results in 9 children with CNO (</w:t>
      </w:r>
      <w:hyperlink r:id="rId23" w:anchor="R8" w:history="1">
        <w:r w:rsidRPr="0065647A">
          <w:rPr>
            <w:rStyle w:val="Hyperlink"/>
            <w:rFonts w:cstheme="minorHAnsi"/>
            <w:color w:val="376FAA"/>
            <w:sz w:val="24"/>
            <w:szCs w:val="24"/>
            <w:shd w:val="clear" w:color="auto" w:fill="FFFFFF"/>
          </w:rPr>
          <w:t>8</w:t>
        </w:r>
      </w:hyperlink>
      <w:r w:rsidRPr="0065647A">
        <w:rPr>
          <w:rFonts w:cstheme="minorHAnsi"/>
          <w:color w:val="212121"/>
          <w:sz w:val="24"/>
          <w:szCs w:val="24"/>
          <w:shd w:val="clear" w:color="auto" w:fill="FFFFFF"/>
        </w:rPr>
        <w:t>). However, Kaiser </w:t>
      </w:r>
      <w:r w:rsidRPr="0065647A">
        <w:rPr>
          <w:rStyle w:val="Emphasis"/>
          <w:rFonts w:cstheme="minorHAnsi"/>
          <w:color w:val="212121"/>
          <w:sz w:val="24"/>
          <w:szCs w:val="24"/>
          <w:shd w:val="clear" w:color="auto" w:fill="FFFFFF"/>
        </w:rPr>
        <w:t>et al.</w:t>
      </w:r>
      <w:r w:rsidRPr="0065647A">
        <w:rPr>
          <w:rFonts w:cstheme="minorHAnsi"/>
          <w:color w:val="212121"/>
          <w:sz w:val="24"/>
          <w:szCs w:val="24"/>
          <w:shd w:val="clear" w:color="auto" w:fill="FFFFFF"/>
        </w:rPr>
        <w:t xml:space="preserve"> showed poor response to </w:t>
      </w:r>
      <w:proofErr w:type="spellStart"/>
      <w:r w:rsidRPr="0065647A">
        <w:rPr>
          <w:rFonts w:cstheme="minorHAnsi"/>
          <w:color w:val="212121"/>
          <w:sz w:val="24"/>
          <w:szCs w:val="24"/>
          <w:shd w:val="clear" w:color="auto" w:fill="FFFFFF"/>
        </w:rPr>
        <w:t>TNFi</w:t>
      </w:r>
      <w:proofErr w:type="spellEnd"/>
      <w:r w:rsidRPr="0065647A">
        <w:rPr>
          <w:rFonts w:cstheme="minorHAnsi"/>
          <w:color w:val="212121"/>
          <w:sz w:val="24"/>
          <w:szCs w:val="24"/>
          <w:shd w:val="clear" w:color="auto" w:fill="FFFFFF"/>
        </w:rPr>
        <w:t xml:space="preserve"> in children with CNO in that only two of seven patients achieved remission (not defined) (</w:t>
      </w:r>
      <w:hyperlink r:id="rId24" w:anchor="R20" w:history="1">
        <w:r w:rsidRPr="0065647A">
          <w:rPr>
            <w:rStyle w:val="Hyperlink"/>
            <w:rFonts w:cstheme="minorHAnsi"/>
            <w:color w:val="376FAA"/>
            <w:sz w:val="24"/>
            <w:szCs w:val="24"/>
            <w:shd w:val="clear" w:color="auto" w:fill="FFFFFF"/>
          </w:rPr>
          <w:t>20</w:t>
        </w:r>
      </w:hyperlink>
      <w:r w:rsidRPr="0065647A">
        <w:rPr>
          <w:rFonts w:cstheme="minorHAnsi"/>
          <w:color w:val="212121"/>
          <w:sz w:val="24"/>
          <w:szCs w:val="24"/>
          <w:shd w:val="clear" w:color="auto" w:fill="FFFFFF"/>
        </w:rPr>
        <w:t>). On the other hand, etanercept was effective in all five patients in a small childhood series (</w:t>
      </w:r>
      <w:hyperlink r:id="rId25" w:anchor="R21" w:history="1">
        <w:r w:rsidRPr="0065647A">
          <w:rPr>
            <w:rStyle w:val="Hyperlink"/>
            <w:rFonts w:cstheme="minorHAnsi"/>
            <w:color w:val="376FAA"/>
            <w:sz w:val="24"/>
            <w:szCs w:val="24"/>
            <w:shd w:val="clear" w:color="auto" w:fill="FFFFFF"/>
          </w:rPr>
          <w:t>21</w:t>
        </w:r>
      </w:hyperlink>
      <w:r w:rsidRPr="0065647A">
        <w:rPr>
          <w:rFonts w:cstheme="minorHAnsi"/>
          <w:color w:val="212121"/>
          <w:sz w:val="24"/>
          <w:szCs w:val="24"/>
          <w:shd w:val="clear" w:color="auto" w:fill="FFFFFF"/>
        </w:rPr>
        <w:t xml:space="preserve">). Anti-interleukin (IL)-1 has been reported in fewer </w:t>
      </w:r>
      <w:proofErr w:type="spellStart"/>
      <w:r w:rsidRPr="0065647A">
        <w:rPr>
          <w:rFonts w:cstheme="minorHAnsi"/>
          <w:color w:val="212121"/>
          <w:sz w:val="24"/>
          <w:szCs w:val="24"/>
          <w:shd w:val="clear" w:color="auto" w:fill="FFFFFF"/>
        </w:rPr>
        <w:t>pediatric</w:t>
      </w:r>
      <w:proofErr w:type="spellEnd"/>
      <w:r w:rsidRPr="0065647A">
        <w:rPr>
          <w:rFonts w:cstheme="minorHAnsi"/>
          <w:color w:val="212121"/>
          <w:sz w:val="24"/>
          <w:szCs w:val="24"/>
          <w:shd w:val="clear" w:color="auto" w:fill="FFFFFF"/>
        </w:rPr>
        <w:t xml:space="preserve"> cases (</w:t>
      </w:r>
      <w:hyperlink r:id="rId26" w:anchor="R20" w:history="1">
        <w:r w:rsidRPr="0065647A">
          <w:rPr>
            <w:rStyle w:val="Hyperlink"/>
            <w:rFonts w:cstheme="minorHAnsi"/>
            <w:color w:val="376FAA"/>
            <w:sz w:val="24"/>
            <w:szCs w:val="24"/>
            <w:shd w:val="clear" w:color="auto" w:fill="FFFFFF"/>
          </w:rPr>
          <w:t>20</w:t>
        </w:r>
      </w:hyperlink>
      <w:r w:rsidRPr="0065647A">
        <w:rPr>
          <w:rFonts w:cstheme="minorHAnsi"/>
          <w:color w:val="212121"/>
          <w:sz w:val="24"/>
          <w:szCs w:val="24"/>
          <w:shd w:val="clear" w:color="auto" w:fill="FFFFFF"/>
        </w:rPr>
        <w:t>). In an adult cohort (n=6), anakinra improved the patient global assessment of disease activity within one month in five patients (</w:t>
      </w:r>
      <w:hyperlink r:id="rId27" w:anchor="R22" w:history="1">
        <w:r w:rsidRPr="0065647A">
          <w:rPr>
            <w:rStyle w:val="Hyperlink"/>
            <w:rFonts w:cstheme="minorHAnsi"/>
            <w:color w:val="376FAA"/>
            <w:sz w:val="24"/>
            <w:szCs w:val="24"/>
            <w:shd w:val="clear" w:color="auto" w:fill="FFFFFF"/>
          </w:rPr>
          <w:t>22</w:t>
        </w:r>
      </w:hyperlink>
      <w:r w:rsidRPr="0065647A">
        <w:rPr>
          <w:rFonts w:cstheme="minorHAnsi"/>
          <w:color w:val="212121"/>
          <w:sz w:val="24"/>
          <w:szCs w:val="24"/>
          <w:shd w:val="clear" w:color="auto" w:fill="FFFFFF"/>
        </w:rPr>
        <w:t>).</w:t>
      </w:r>
    </w:p>
    <w:p w14:paraId="61EA55EA" w14:textId="771CCFE0" w:rsidR="00150371" w:rsidRPr="0065647A" w:rsidRDefault="00150371" w:rsidP="0065647A">
      <w:pPr>
        <w:jc w:val="both"/>
        <w:rPr>
          <w:rFonts w:cstheme="minorHAnsi"/>
          <w:b/>
          <w:color w:val="00A2E5"/>
          <w:sz w:val="24"/>
          <w:szCs w:val="24"/>
        </w:rPr>
      </w:pPr>
      <w:r w:rsidRPr="0065647A">
        <w:rPr>
          <w:rFonts w:cstheme="minorHAnsi"/>
          <w:b/>
          <w:color w:val="00A2E5"/>
          <w:sz w:val="24"/>
          <w:szCs w:val="24"/>
        </w:rPr>
        <w:t>Pamidronate Vs TNF Inhibitors</w:t>
      </w:r>
    </w:p>
    <w:p w14:paraId="1092CFA0" w14:textId="59CB1259" w:rsidR="005D2CC6" w:rsidRPr="0065647A" w:rsidRDefault="00FC5032" w:rsidP="0065647A">
      <w:pPr>
        <w:pStyle w:val="NormalWeb"/>
        <w:shd w:val="clear" w:color="auto" w:fill="FFFFFF"/>
        <w:jc w:val="both"/>
        <w:rPr>
          <w:rFonts w:asciiTheme="minorHAnsi" w:hAnsiTheme="minorHAnsi" w:cstheme="minorHAnsi"/>
          <w:color w:val="212121"/>
        </w:rPr>
      </w:pPr>
      <w:r w:rsidRPr="0065647A">
        <w:rPr>
          <w:rFonts w:asciiTheme="minorHAnsi" w:hAnsiTheme="minorHAnsi" w:cstheme="minorHAnsi"/>
          <w:color w:val="212121"/>
        </w:rPr>
        <w:t xml:space="preserve">An international multi-centre retrospective study </w:t>
      </w:r>
      <w:r w:rsidR="0051373D" w:rsidRPr="0065647A">
        <w:rPr>
          <w:rFonts w:asciiTheme="minorHAnsi" w:hAnsiTheme="minorHAnsi" w:cstheme="minorHAnsi"/>
          <w:color w:val="212121"/>
        </w:rPr>
        <w:t xml:space="preserve">by Schnabel et al, </w:t>
      </w:r>
      <w:r w:rsidRPr="0065647A">
        <w:rPr>
          <w:rFonts w:asciiTheme="minorHAnsi" w:hAnsiTheme="minorHAnsi" w:cstheme="minorHAnsi"/>
          <w:color w:val="212121"/>
        </w:rPr>
        <w:t xml:space="preserve">looked at 91 patients who received </w:t>
      </w:r>
      <w:r w:rsidR="00F4284A" w:rsidRPr="0065647A">
        <w:rPr>
          <w:rFonts w:asciiTheme="minorHAnsi" w:hAnsiTheme="minorHAnsi" w:cstheme="minorHAnsi"/>
          <w:color w:val="212121"/>
        </w:rPr>
        <w:t>P</w:t>
      </w:r>
      <w:r w:rsidRPr="0065647A">
        <w:rPr>
          <w:rFonts w:asciiTheme="minorHAnsi" w:hAnsiTheme="minorHAnsi" w:cstheme="minorHAnsi"/>
          <w:color w:val="212121"/>
        </w:rPr>
        <w:t>amidronate alone, TNF inhibitors alone, or a combination of both</w:t>
      </w:r>
      <w:r w:rsidR="00150371" w:rsidRPr="0065647A">
        <w:rPr>
          <w:rFonts w:asciiTheme="minorHAnsi" w:hAnsiTheme="minorHAnsi" w:cstheme="minorHAnsi"/>
          <w:color w:val="212121"/>
        </w:rPr>
        <w:t xml:space="preserve"> sequentially</w:t>
      </w:r>
      <w:r w:rsidRPr="0065647A">
        <w:rPr>
          <w:rFonts w:asciiTheme="minorHAnsi" w:hAnsiTheme="minorHAnsi" w:cstheme="minorHAnsi"/>
          <w:color w:val="212121"/>
          <w:vertAlign w:val="superscript"/>
        </w:rPr>
        <w:t>9</w:t>
      </w:r>
      <w:r w:rsidRPr="0065647A">
        <w:rPr>
          <w:rFonts w:asciiTheme="minorHAnsi" w:hAnsiTheme="minorHAnsi" w:cstheme="minorHAnsi"/>
          <w:color w:val="212121"/>
        </w:rPr>
        <w:t xml:space="preserve">. </w:t>
      </w:r>
      <w:r w:rsidR="00F4284A" w:rsidRPr="0065647A">
        <w:rPr>
          <w:rFonts w:asciiTheme="minorHAnsi" w:hAnsiTheme="minorHAnsi" w:cstheme="minorHAnsi"/>
          <w:color w:val="212121"/>
        </w:rPr>
        <w:t xml:space="preserve"> </w:t>
      </w:r>
      <w:r w:rsidR="00150371" w:rsidRPr="0065647A">
        <w:rPr>
          <w:rFonts w:asciiTheme="minorHAnsi" w:hAnsiTheme="minorHAnsi" w:cstheme="minorHAnsi"/>
          <w:color w:val="2E2E2E"/>
        </w:rPr>
        <w:t>Both therapies were associated with clinical </w:t>
      </w:r>
      <w:hyperlink r:id="rId28" w:tooltip="Learn more about remission from ScienceDirect's AI-generated Topic Pages" w:history="1">
        <w:r w:rsidR="00150371" w:rsidRPr="0065647A">
          <w:rPr>
            <w:rStyle w:val="Hyperlink"/>
            <w:rFonts w:asciiTheme="minorHAnsi" w:hAnsiTheme="minorHAnsi" w:cstheme="minorHAnsi"/>
            <w:color w:val="2E2E2E"/>
          </w:rPr>
          <w:t>remission</w:t>
        </w:r>
      </w:hyperlink>
      <w:r w:rsidR="00150371" w:rsidRPr="0065647A">
        <w:rPr>
          <w:rFonts w:asciiTheme="minorHAnsi" w:hAnsiTheme="minorHAnsi" w:cstheme="minorHAnsi"/>
          <w:color w:val="2E2E2E"/>
        </w:rPr>
        <w:t> at 6 months, and reduction of </w:t>
      </w:r>
      <w:hyperlink r:id="rId29" w:tooltip="Learn more about bone lesions from ScienceDirect's AI-generated Topic Pages" w:history="1">
        <w:r w:rsidR="00150371" w:rsidRPr="0065647A">
          <w:rPr>
            <w:rStyle w:val="Hyperlink"/>
            <w:rFonts w:asciiTheme="minorHAnsi" w:hAnsiTheme="minorHAnsi" w:cstheme="minorHAnsi"/>
            <w:color w:val="2E2E2E"/>
          </w:rPr>
          <w:t>bone lesions</w:t>
        </w:r>
      </w:hyperlink>
      <w:r w:rsidR="00150371" w:rsidRPr="0065647A">
        <w:rPr>
          <w:rFonts w:asciiTheme="minorHAnsi" w:hAnsiTheme="minorHAnsi" w:cstheme="minorHAnsi"/>
          <w:color w:val="2E2E2E"/>
        </w:rPr>
        <w:t xml:space="preserve"> on MRI at 12 months. While not reaching statistical significance, pamidronate resulted in faster resolution of MRI lesions. Fewer flares were observed with </w:t>
      </w:r>
      <w:proofErr w:type="spellStart"/>
      <w:r w:rsidR="00150371" w:rsidRPr="0065647A">
        <w:rPr>
          <w:rFonts w:asciiTheme="minorHAnsi" w:hAnsiTheme="minorHAnsi" w:cstheme="minorHAnsi"/>
          <w:color w:val="2E2E2E"/>
        </w:rPr>
        <w:t>TNFi</w:t>
      </w:r>
      <w:proofErr w:type="spellEnd"/>
      <w:r w:rsidR="00150371" w:rsidRPr="0065647A">
        <w:rPr>
          <w:rFonts w:asciiTheme="minorHAnsi" w:hAnsiTheme="minorHAnsi" w:cstheme="minorHAnsi"/>
          <w:color w:val="2E2E2E"/>
        </w:rPr>
        <w:t>. Failure to respond to pamidronate was associated with female sex [</w:t>
      </w:r>
      <w:r w:rsidR="00150371" w:rsidRPr="0065647A">
        <w:rPr>
          <w:rStyle w:val="Emphasis"/>
          <w:rFonts w:asciiTheme="minorHAnsi" w:hAnsiTheme="minorHAnsi" w:cstheme="minorHAnsi"/>
          <w:color w:val="2E2E2E"/>
        </w:rPr>
        <w:t>p</w:t>
      </w:r>
      <w:r w:rsidR="00150371" w:rsidRPr="0065647A">
        <w:rPr>
          <w:rFonts w:asciiTheme="minorHAnsi" w:hAnsiTheme="minorHAnsi" w:cstheme="minorHAnsi"/>
          <w:color w:val="2E2E2E"/>
        </w:rPr>
        <w:t> = 0.027], more lesions on MRI [</w:t>
      </w:r>
      <w:r w:rsidR="00150371" w:rsidRPr="0065647A">
        <w:rPr>
          <w:rStyle w:val="Emphasis"/>
          <w:rFonts w:asciiTheme="minorHAnsi" w:hAnsiTheme="minorHAnsi" w:cstheme="minorHAnsi"/>
          <w:color w:val="2E2E2E"/>
        </w:rPr>
        <w:t>p</w:t>
      </w:r>
      <w:r w:rsidR="00150371" w:rsidRPr="0065647A">
        <w:rPr>
          <w:rFonts w:asciiTheme="minorHAnsi" w:hAnsiTheme="minorHAnsi" w:cstheme="minorHAnsi"/>
          <w:color w:val="2E2E2E"/>
        </w:rPr>
        <w:t> = 0.01] and higher </w:t>
      </w:r>
      <w:hyperlink r:id="rId30" w:tooltip="Learn more about CRP from ScienceDirect's AI-generated Topic Pages" w:history="1">
        <w:r w:rsidR="00150371" w:rsidRPr="0065647A">
          <w:rPr>
            <w:rStyle w:val="Hyperlink"/>
            <w:rFonts w:asciiTheme="minorHAnsi" w:hAnsiTheme="minorHAnsi" w:cstheme="minorHAnsi"/>
            <w:color w:val="2E2E2E"/>
          </w:rPr>
          <w:t>CRP</w:t>
        </w:r>
      </w:hyperlink>
      <w:r w:rsidR="00150371" w:rsidRPr="0065647A">
        <w:rPr>
          <w:rFonts w:asciiTheme="minorHAnsi" w:hAnsiTheme="minorHAnsi" w:cstheme="minorHAnsi"/>
          <w:color w:val="2E2E2E"/>
        </w:rPr>
        <w:t> levels [</w:t>
      </w:r>
      <w:r w:rsidR="00150371" w:rsidRPr="0065647A">
        <w:rPr>
          <w:rStyle w:val="Emphasis"/>
          <w:rFonts w:asciiTheme="minorHAnsi" w:hAnsiTheme="minorHAnsi" w:cstheme="minorHAnsi"/>
          <w:color w:val="2E2E2E"/>
        </w:rPr>
        <w:t>p</w:t>
      </w:r>
      <w:r w:rsidR="00150371" w:rsidRPr="0065647A">
        <w:rPr>
          <w:rFonts w:asciiTheme="minorHAnsi" w:hAnsiTheme="minorHAnsi" w:cstheme="minorHAnsi"/>
          <w:color w:val="2E2E2E"/>
        </w:rPr>
        <w:t> = 0.03].</w:t>
      </w:r>
    </w:p>
    <w:p w14:paraId="3141708C" w14:textId="0B46866B" w:rsidR="00D814BB" w:rsidRPr="0065647A" w:rsidRDefault="00D814BB" w:rsidP="0065647A">
      <w:pPr>
        <w:jc w:val="both"/>
        <w:rPr>
          <w:rFonts w:cstheme="minorHAnsi"/>
          <w:b/>
          <w:color w:val="00A2E5"/>
          <w:sz w:val="24"/>
          <w:szCs w:val="24"/>
        </w:rPr>
      </w:pPr>
    </w:p>
    <w:p w14:paraId="0CC7AB0B" w14:textId="3047DA91" w:rsidR="008858B9" w:rsidRPr="0065647A" w:rsidRDefault="008858B9" w:rsidP="0065647A">
      <w:pPr>
        <w:jc w:val="both"/>
        <w:rPr>
          <w:rFonts w:cstheme="minorHAnsi"/>
          <w:b/>
          <w:color w:val="00A2E5"/>
          <w:sz w:val="24"/>
          <w:szCs w:val="24"/>
        </w:rPr>
      </w:pPr>
      <w:r w:rsidRPr="0065647A">
        <w:rPr>
          <w:rFonts w:cstheme="minorHAnsi"/>
          <w:b/>
          <w:color w:val="00A2E5"/>
          <w:sz w:val="24"/>
          <w:szCs w:val="24"/>
        </w:rPr>
        <w:t>Other</w:t>
      </w:r>
    </w:p>
    <w:p w14:paraId="616E5784" w14:textId="001A5CBA" w:rsidR="0065647A" w:rsidRPr="0065647A" w:rsidRDefault="0065647A" w:rsidP="0065647A">
      <w:pPr>
        <w:jc w:val="both"/>
        <w:rPr>
          <w:rFonts w:cstheme="minorHAnsi"/>
          <w:bCs/>
          <w:sz w:val="24"/>
          <w:szCs w:val="24"/>
        </w:rPr>
      </w:pPr>
      <w:r w:rsidRPr="0065647A">
        <w:rPr>
          <w:rFonts w:cstheme="minorHAnsi"/>
          <w:bCs/>
          <w:sz w:val="24"/>
          <w:szCs w:val="24"/>
        </w:rPr>
        <w:t xml:space="preserve">Evidence base is limited but other treatments such as anakinra or </w:t>
      </w:r>
      <w:proofErr w:type="spellStart"/>
      <w:r w:rsidRPr="0065647A">
        <w:rPr>
          <w:rFonts w:cstheme="minorHAnsi"/>
          <w:bCs/>
          <w:sz w:val="24"/>
          <w:szCs w:val="24"/>
        </w:rPr>
        <w:t>secukinumab</w:t>
      </w:r>
      <w:proofErr w:type="spellEnd"/>
      <w:r w:rsidRPr="0065647A">
        <w:rPr>
          <w:rFonts w:cstheme="minorHAnsi"/>
          <w:bCs/>
          <w:sz w:val="24"/>
          <w:szCs w:val="24"/>
        </w:rPr>
        <w:t xml:space="preserve"> may be considered at the </w:t>
      </w:r>
      <w:r w:rsidR="00A503BC" w:rsidRPr="0065647A">
        <w:rPr>
          <w:rFonts w:cstheme="minorHAnsi"/>
          <w:bCs/>
          <w:sz w:val="24"/>
          <w:szCs w:val="24"/>
        </w:rPr>
        <w:t>clinician’s</w:t>
      </w:r>
      <w:r w:rsidRPr="0065647A">
        <w:rPr>
          <w:rFonts w:cstheme="minorHAnsi"/>
          <w:bCs/>
          <w:sz w:val="24"/>
          <w:szCs w:val="24"/>
        </w:rPr>
        <w:t xml:space="preserve"> discretion.</w:t>
      </w:r>
    </w:p>
    <w:p w14:paraId="66416E36" w14:textId="62F98535" w:rsidR="00B732C5" w:rsidRPr="0065647A" w:rsidRDefault="00B732C5" w:rsidP="0065647A">
      <w:pPr>
        <w:jc w:val="both"/>
        <w:rPr>
          <w:rFonts w:cstheme="minorHAnsi"/>
          <w:bCs/>
          <w:sz w:val="24"/>
          <w:szCs w:val="24"/>
        </w:rPr>
      </w:pPr>
      <w:r w:rsidRPr="0065647A">
        <w:rPr>
          <w:rFonts w:cstheme="minorHAnsi"/>
          <w:bCs/>
          <w:sz w:val="24"/>
          <w:szCs w:val="24"/>
        </w:rPr>
        <w:t>References</w:t>
      </w:r>
    </w:p>
    <w:p w14:paraId="3B3B6CF8" w14:textId="0E8C0D78" w:rsidR="00B732C5" w:rsidRPr="0065647A" w:rsidRDefault="00B732C5" w:rsidP="0065647A">
      <w:pPr>
        <w:pStyle w:val="ListParagraph"/>
        <w:numPr>
          <w:ilvl w:val="0"/>
          <w:numId w:val="26"/>
        </w:numPr>
        <w:jc w:val="both"/>
        <w:rPr>
          <w:rFonts w:asciiTheme="minorHAnsi" w:hAnsiTheme="minorHAnsi" w:cstheme="minorHAnsi"/>
          <w:bCs/>
        </w:rPr>
      </w:pPr>
      <w:r w:rsidRPr="0065647A">
        <w:rPr>
          <w:rFonts w:asciiTheme="minorHAnsi" w:hAnsiTheme="minorHAnsi" w:cstheme="minorHAnsi"/>
          <w:bCs/>
        </w:rPr>
        <w:t xml:space="preserve">Consensus Treatment Plans for Chronic Nonbacterial Osteomyelitis refractory to NSAIDS and/or with active spinal lesions.  Zhao et al, </w:t>
      </w:r>
      <w:proofErr w:type="spellStart"/>
      <w:r w:rsidRPr="0065647A">
        <w:rPr>
          <w:rFonts w:asciiTheme="minorHAnsi" w:hAnsiTheme="minorHAnsi" w:cstheme="minorHAnsi"/>
          <w:bCs/>
        </w:rPr>
        <w:t>Arhtritis</w:t>
      </w:r>
      <w:proofErr w:type="spellEnd"/>
      <w:r w:rsidRPr="0065647A">
        <w:rPr>
          <w:rFonts w:asciiTheme="minorHAnsi" w:hAnsiTheme="minorHAnsi" w:cstheme="minorHAnsi"/>
          <w:bCs/>
        </w:rPr>
        <w:t xml:space="preserve"> Care Res, 2018.</w:t>
      </w:r>
    </w:p>
    <w:p w14:paraId="6DA283DA" w14:textId="39755D97" w:rsidR="00177447" w:rsidRPr="0065647A" w:rsidRDefault="00AC0BE0" w:rsidP="0065647A">
      <w:pPr>
        <w:pStyle w:val="ListParagraph"/>
        <w:numPr>
          <w:ilvl w:val="0"/>
          <w:numId w:val="26"/>
        </w:numPr>
        <w:jc w:val="both"/>
        <w:rPr>
          <w:rFonts w:asciiTheme="minorHAnsi" w:hAnsiTheme="minorHAnsi" w:cstheme="minorHAnsi"/>
          <w:bCs/>
        </w:rPr>
      </w:pPr>
      <w:r w:rsidRPr="0065647A">
        <w:rPr>
          <w:rFonts w:asciiTheme="minorHAnsi" w:hAnsiTheme="minorHAnsi" w:cstheme="minorHAnsi"/>
          <w:bCs/>
        </w:rPr>
        <w:t>Chronic nonbacterial osteomyelitis in childhood: prospective follow up during the first year of anti-inflammatory treatment.  Beck et al, Arthritis Research and Therapy, 2010.</w:t>
      </w:r>
    </w:p>
    <w:p w14:paraId="66943C6D" w14:textId="0702B911" w:rsidR="00177447" w:rsidRPr="0065647A" w:rsidRDefault="00177447" w:rsidP="0065647A">
      <w:pPr>
        <w:pStyle w:val="ListParagraph"/>
        <w:numPr>
          <w:ilvl w:val="0"/>
          <w:numId w:val="26"/>
        </w:numPr>
        <w:jc w:val="both"/>
        <w:rPr>
          <w:rFonts w:asciiTheme="minorHAnsi" w:hAnsiTheme="minorHAnsi" w:cstheme="minorHAnsi"/>
          <w:bCs/>
        </w:rPr>
      </w:pPr>
      <w:r w:rsidRPr="0065647A">
        <w:rPr>
          <w:rFonts w:asciiTheme="minorHAnsi" w:hAnsiTheme="minorHAnsi" w:cstheme="minorHAnsi"/>
          <w:bCs/>
        </w:rPr>
        <w:t xml:space="preserve">Variability in phenotype and response to treatment in </w:t>
      </w:r>
      <w:proofErr w:type="spellStart"/>
      <w:r w:rsidRPr="0065647A">
        <w:rPr>
          <w:rFonts w:asciiTheme="minorHAnsi" w:hAnsiTheme="minorHAnsi" w:cstheme="minorHAnsi"/>
          <w:bCs/>
        </w:rPr>
        <w:t>chtonic</w:t>
      </w:r>
      <w:proofErr w:type="spellEnd"/>
      <w:r w:rsidRPr="0065647A">
        <w:rPr>
          <w:rFonts w:asciiTheme="minorHAnsi" w:hAnsiTheme="minorHAnsi" w:cstheme="minorHAnsi"/>
          <w:bCs/>
        </w:rPr>
        <w:t xml:space="preserve"> nonbacterial osteomyelitis; the Irish experience of a national cohort </w:t>
      </w:r>
      <w:proofErr w:type="spellStart"/>
      <w:r w:rsidRPr="0065647A">
        <w:rPr>
          <w:rFonts w:asciiTheme="minorHAnsi" w:hAnsiTheme="minorHAnsi" w:cstheme="minorHAnsi"/>
          <w:bCs/>
        </w:rPr>
        <w:t>OLeary</w:t>
      </w:r>
      <w:proofErr w:type="spellEnd"/>
      <w:r w:rsidRPr="0065647A">
        <w:rPr>
          <w:rFonts w:asciiTheme="minorHAnsi" w:hAnsiTheme="minorHAnsi" w:cstheme="minorHAnsi"/>
          <w:bCs/>
        </w:rPr>
        <w:t xml:space="preserve"> et al, Ped Rheum 2021</w:t>
      </w:r>
    </w:p>
    <w:p w14:paraId="0E8276C1" w14:textId="71872045" w:rsidR="00177447" w:rsidRPr="0065647A" w:rsidRDefault="00177447" w:rsidP="0065647A">
      <w:pPr>
        <w:pStyle w:val="ListParagraph"/>
        <w:numPr>
          <w:ilvl w:val="0"/>
          <w:numId w:val="26"/>
        </w:numPr>
        <w:jc w:val="both"/>
        <w:rPr>
          <w:rFonts w:asciiTheme="minorHAnsi" w:hAnsiTheme="minorHAnsi" w:cstheme="minorHAnsi"/>
          <w:bCs/>
        </w:rPr>
      </w:pPr>
      <w:r w:rsidRPr="0065647A">
        <w:rPr>
          <w:rFonts w:asciiTheme="minorHAnsi" w:hAnsiTheme="minorHAnsi" w:cstheme="minorHAnsi"/>
          <w:bCs/>
        </w:rPr>
        <w:t xml:space="preserve">Comparison of different treatment approaches of paediatric chronic non-bacterial osteomyelitis.  </w:t>
      </w:r>
      <w:proofErr w:type="spellStart"/>
      <w:r w:rsidRPr="0065647A">
        <w:rPr>
          <w:rFonts w:asciiTheme="minorHAnsi" w:hAnsiTheme="minorHAnsi" w:cstheme="minorHAnsi"/>
          <w:bCs/>
        </w:rPr>
        <w:t>Kostek</w:t>
      </w:r>
      <w:proofErr w:type="spellEnd"/>
      <w:r w:rsidRPr="0065647A">
        <w:rPr>
          <w:rFonts w:asciiTheme="minorHAnsi" w:hAnsiTheme="minorHAnsi" w:cstheme="minorHAnsi"/>
          <w:bCs/>
        </w:rPr>
        <w:t xml:space="preserve"> et al. Rheum Intern 2019</w:t>
      </w:r>
    </w:p>
    <w:p w14:paraId="67EDD88C" w14:textId="15BA1A5E" w:rsidR="0066453A" w:rsidRPr="0065647A" w:rsidRDefault="0066453A" w:rsidP="0065647A">
      <w:pPr>
        <w:pStyle w:val="ListParagraph"/>
        <w:numPr>
          <w:ilvl w:val="0"/>
          <w:numId w:val="26"/>
        </w:numPr>
        <w:jc w:val="both"/>
        <w:rPr>
          <w:rFonts w:asciiTheme="minorHAnsi" w:hAnsiTheme="minorHAnsi" w:cstheme="minorHAnsi"/>
          <w:bCs/>
        </w:rPr>
      </w:pPr>
      <w:r w:rsidRPr="0065647A">
        <w:rPr>
          <w:rFonts w:asciiTheme="minorHAnsi" w:hAnsiTheme="minorHAnsi" w:cstheme="minorHAnsi"/>
          <w:bCs/>
        </w:rPr>
        <w:t xml:space="preserve">The multifaceted presentation of chronic recurrent multifocal osteomyelitis: a series of 486 cases from the </w:t>
      </w:r>
      <w:proofErr w:type="spellStart"/>
      <w:r w:rsidRPr="0065647A">
        <w:rPr>
          <w:rFonts w:asciiTheme="minorHAnsi" w:hAnsiTheme="minorHAnsi" w:cstheme="minorHAnsi"/>
          <w:bCs/>
        </w:rPr>
        <w:t>Eurofever</w:t>
      </w:r>
      <w:proofErr w:type="spellEnd"/>
      <w:r w:rsidRPr="0065647A">
        <w:rPr>
          <w:rFonts w:asciiTheme="minorHAnsi" w:hAnsiTheme="minorHAnsi" w:cstheme="minorHAnsi"/>
          <w:bCs/>
        </w:rPr>
        <w:t xml:space="preserve"> international registry.  </w:t>
      </w:r>
      <w:proofErr w:type="spellStart"/>
      <w:r w:rsidRPr="0065647A">
        <w:rPr>
          <w:rFonts w:asciiTheme="minorHAnsi" w:hAnsiTheme="minorHAnsi" w:cstheme="minorHAnsi"/>
          <w:bCs/>
        </w:rPr>
        <w:t>Girschick</w:t>
      </w:r>
      <w:proofErr w:type="spellEnd"/>
      <w:r w:rsidRPr="0065647A">
        <w:rPr>
          <w:rFonts w:asciiTheme="minorHAnsi" w:hAnsiTheme="minorHAnsi" w:cstheme="minorHAnsi"/>
          <w:bCs/>
        </w:rPr>
        <w:t xml:space="preserve"> et al, Rheumatology 2018</w:t>
      </w:r>
    </w:p>
    <w:p w14:paraId="3EE35639" w14:textId="77777777" w:rsidR="000B0587" w:rsidRPr="0065647A" w:rsidRDefault="0066453A" w:rsidP="0065647A">
      <w:pPr>
        <w:pStyle w:val="ListParagraph"/>
        <w:numPr>
          <w:ilvl w:val="0"/>
          <w:numId w:val="26"/>
        </w:numPr>
        <w:jc w:val="both"/>
        <w:rPr>
          <w:rFonts w:asciiTheme="minorHAnsi" w:hAnsiTheme="minorHAnsi" w:cstheme="minorHAnsi"/>
          <w:bCs/>
        </w:rPr>
      </w:pPr>
      <w:r w:rsidRPr="0065647A">
        <w:rPr>
          <w:rFonts w:asciiTheme="minorHAnsi" w:hAnsiTheme="minorHAnsi" w:cstheme="minorHAnsi"/>
          <w:bCs/>
        </w:rPr>
        <w:t xml:space="preserve">Pediatric chronic nonbacterial osteomyelitis </w:t>
      </w:r>
      <w:proofErr w:type="spellStart"/>
      <w:r w:rsidRPr="0065647A">
        <w:rPr>
          <w:rFonts w:asciiTheme="minorHAnsi" w:hAnsiTheme="minorHAnsi" w:cstheme="minorHAnsi"/>
          <w:bCs/>
        </w:rPr>
        <w:t>Borzutzy</w:t>
      </w:r>
      <w:proofErr w:type="spellEnd"/>
      <w:r w:rsidRPr="0065647A">
        <w:rPr>
          <w:rFonts w:asciiTheme="minorHAnsi" w:hAnsiTheme="minorHAnsi" w:cstheme="minorHAnsi"/>
          <w:bCs/>
        </w:rPr>
        <w:t xml:space="preserve"> et al, Rheum Intern 2012</w:t>
      </w:r>
    </w:p>
    <w:p w14:paraId="3E528451" w14:textId="3B2FA60A" w:rsidR="000B0587" w:rsidRPr="0065647A" w:rsidRDefault="000B0587" w:rsidP="0065647A">
      <w:pPr>
        <w:pStyle w:val="ListParagraph"/>
        <w:numPr>
          <w:ilvl w:val="0"/>
          <w:numId w:val="26"/>
        </w:numPr>
        <w:jc w:val="both"/>
        <w:rPr>
          <w:rStyle w:val="highwire-cite-metadata-doi"/>
          <w:rFonts w:asciiTheme="minorHAnsi" w:hAnsiTheme="minorHAnsi" w:cstheme="minorHAnsi"/>
          <w:bCs/>
        </w:rPr>
      </w:pPr>
      <w:r w:rsidRPr="0065647A">
        <w:rPr>
          <w:rFonts w:asciiTheme="minorHAnsi" w:hAnsiTheme="minorHAnsi" w:cstheme="minorHAnsi"/>
          <w:bCs/>
          <w:spacing w:val="-7"/>
        </w:rPr>
        <w:t xml:space="preserve">Treatment Response and </w:t>
      </w:r>
      <w:proofErr w:type="spellStart"/>
      <w:r w:rsidRPr="0065647A">
        <w:rPr>
          <w:rFonts w:asciiTheme="minorHAnsi" w:hAnsiTheme="minorHAnsi" w:cstheme="minorHAnsi"/>
          <w:bCs/>
          <w:spacing w:val="-7"/>
        </w:rPr>
        <w:t>Longterm</w:t>
      </w:r>
      <w:proofErr w:type="spellEnd"/>
      <w:r w:rsidRPr="0065647A">
        <w:rPr>
          <w:rFonts w:asciiTheme="minorHAnsi" w:hAnsiTheme="minorHAnsi" w:cstheme="minorHAnsi"/>
          <w:bCs/>
          <w:spacing w:val="-7"/>
        </w:rPr>
        <w:t xml:space="preserve"> Outcomes in Children with Chronic Nonbacterial Osteomyelitis</w:t>
      </w:r>
      <w:r w:rsidR="0065647A" w:rsidRPr="0065647A">
        <w:rPr>
          <w:rFonts w:asciiTheme="minorHAnsi" w:hAnsiTheme="minorHAnsi" w:cstheme="minorHAnsi"/>
          <w:bCs/>
          <w:spacing w:val="-7"/>
        </w:rPr>
        <w:t xml:space="preserve">, </w:t>
      </w:r>
      <w:r w:rsidRPr="0065647A">
        <w:rPr>
          <w:rStyle w:val="highwire-citation-author"/>
          <w:rFonts w:asciiTheme="minorHAnsi" w:hAnsiTheme="minorHAnsi" w:cstheme="minorHAnsi"/>
          <w:bCs/>
          <w:bdr w:val="none" w:sz="0" w:space="0" w:color="auto" w:frame="1"/>
        </w:rPr>
        <w:t>Anja Schnabel</w:t>
      </w:r>
      <w:r w:rsidRPr="0065647A">
        <w:rPr>
          <w:rStyle w:val="highwire-citation-authors"/>
          <w:rFonts w:asciiTheme="minorHAnsi" w:hAnsiTheme="minorHAnsi" w:cstheme="minorHAnsi"/>
          <w:bCs/>
          <w:bdr w:val="none" w:sz="0" w:space="0" w:color="auto" w:frame="1"/>
        </w:rPr>
        <w:t>, </w:t>
      </w:r>
      <w:r w:rsidRPr="0065647A">
        <w:rPr>
          <w:rStyle w:val="highwire-citation-author"/>
          <w:rFonts w:asciiTheme="minorHAnsi" w:hAnsiTheme="minorHAnsi" w:cstheme="minorHAnsi"/>
          <w:bCs/>
          <w:bdr w:val="none" w:sz="0" w:space="0" w:color="auto" w:frame="1"/>
        </w:rPr>
        <w:t>Ursula Range</w:t>
      </w:r>
      <w:r w:rsidRPr="0065647A">
        <w:rPr>
          <w:rStyle w:val="highwire-citation-authors"/>
          <w:rFonts w:asciiTheme="minorHAnsi" w:hAnsiTheme="minorHAnsi" w:cstheme="minorHAnsi"/>
          <w:bCs/>
          <w:bdr w:val="none" w:sz="0" w:space="0" w:color="auto" w:frame="1"/>
        </w:rPr>
        <w:t>, </w:t>
      </w:r>
      <w:r w:rsidRPr="0065647A">
        <w:rPr>
          <w:rStyle w:val="highwire-citation-author"/>
          <w:rFonts w:asciiTheme="minorHAnsi" w:hAnsiTheme="minorHAnsi" w:cstheme="minorHAnsi"/>
          <w:bCs/>
          <w:bdr w:val="none" w:sz="0" w:space="0" w:color="auto" w:frame="1"/>
        </w:rPr>
        <w:t>Gabriele Hahn</w:t>
      </w:r>
      <w:r w:rsidRPr="0065647A">
        <w:rPr>
          <w:rStyle w:val="highwire-citation-authors"/>
          <w:rFonts w:asciiTheme="minorHAnsi" w:hAnsiTheme="minorHAnsi" w:cstheme="minorHAnsi"/>
          <w:bCs/>
          <w:bdr w:val="none" w:sz="0" w:space="0" w:color="auto" w:frame="1"/>
        </w:rPr>
        <w:t>, </w:t>
      </w:r>
      <w:r w:rsidRPr="0065647A">
        <w:rPr>
          <w:rStyle w:val="highwire-citation-author"/>
          <w:rFonts w:asciiTheme="minorHAnsi" w:hAnsiTheme="minorHAnsi" w:cstheme="minorHAnsi"/>
          <w:bCs/>
          <w:bdr w:val="none" w:sz="0" w:space="0" w:color="auto" w:frame="1"/>
        </w:rPr>
        <w:t>Reinhard Berner</w:t>
      </w:r>
      <w:r w:rsidRPr="0065647A">
        <w:rPr>
          <w:rStyle w:val="highwire-citation-authors"/>
          <w:rFonts w:asciiTheme="minorHAnsi" w:hAnsiTheme="minorHAnsi" w:cstheme="minorHAnsi"/>
          <w:bCs/>
          <w:bdr w:val="none" w:sz="0" w:space="0" w:color="auto" w:frame="1"/>
        </w:rPr>
        <w:t> and </w:t>
      </w:r>
      <w:r w:rsidRPr="0065647A">
        <w:rPr>
          <w:rStyle w:val="highwire-citation-author"/>
          <w:rFonts w:asciiTheme="minorHAnsi" w:hAnsiTheme="minorHAnsi" w:cstheme="minorHAnsi"/>
          <w:bCs/>
          <w:bdr w:val="none" w:sz="0" w:space="0" w:color="auto" w:frame="1"/>
        </w:rPr>
        <w:t xml:space="preserve">Christian M. </w:t>
      </w:r>
      <w:proofErr w:type="spellStart"/>
      <w:r w:rsidRPr="0065647A">
        <w:rPr>
          <w:rStyle w:val="highwire-citation-author"/>
          <w:rFonts w:asciiTheme="minorHAnsi" w:hAnsiTheme="minorHAnsi" w:cstheme="minorHAnsi"/>
          <w:bCs/>
          <w:bdr w:val="none" w:sz="0" w:space="0" w:color="auto" w:frame="1"/>
        </w:rPr>
        <w:t>Hedrich</w:t>
      </w:r>
      <w:proofErr w:type="spellEnd"/>
      <w:r w:rsidR="0065647A" w:rsidRPr="0065647A">
        <w:rPr>
          <w:rStyle w:val="highwire-citation-author"/>
          <w:rFonts w:asciiTheme="minorHAnsi" w:hAnsiTheme="minorHAnsi" w:cstheme="minorHAnsi"/>
          <w:bCs/>
          <w:bdr w:val="none" w:sz="0" w:space="0" w:color="auto" w:frame="1"/>
        </w:rPr>
        <w:t xml:space="preserve">, </w:t>
      </w:r>
      <w:r w:rsidRPr="0065647A">
        <w:rPr>
          <w:rStyle w:val="highwire-cite-metadata-journal"/>
          <w:rFonts w:asciiTheme="minorHAnsi" w:hAnsiTheme="minorHAnsi" w:cstheme="minorHAnsi"/>
          <w:bCs/>
          <w:bdr w:val="none" w:sz="0" w:space="0" w:color="auto" w:frame="1"/>
        </w:rPr>
        <w:t>The Journal of Rheumatology </w:t>
      </w:r>
      <w:r w:rsidRPr="0065647A">
        <w:rPr>
          <w:rStyle w:val="highwire-cite-metadata-date"/>
          <w:rFonts w:asciiTheme="minorHAnsi" w:hAnsiTheme="minorHAnsi" w:cstheme="minorHAnsi"/>
          <w:bCs/>
          <w:bdr w:val="none" w:sz="0" w:space="0" w:color="auto" w:frame="1"/>
        </w:rPr>
        <w:t>July 2017, </w:t>
      </w:r>
      <w:r w:rsidRPr="0065647A">
        <w:rPr>
          <w:rStyle w:val="highwire-cite-metadata-volume"/>
          <w:rFonts w:asciiTheme="minorHAnsi" w:hAnsiTheme="minorHAnsi" w:cstheme="minorHAnsi"/>
          <w:bCs/>
          <w:bdr w:val="none" w:sz="0" w:space="0" w:color="auto" w:frame="1"/>
        </w:rPr>
        <w:t>44 </w:t>
      </w:r>
      <w:r w:rsidRPr="0065647A">
        <w:rPr>
          <w:rStyle w:val="highwire-cite-metadata-issue"/>
          <w:rFonts w:asciiTheme="minorHAnsi" w:hAnsiTheme="minorHAnsi" w:cstheme="minorHAnsi"/>
          <w:bCs/>
          <w:bdr w:val="none" w:sz="0" w:space="0" w:color="auto" w:frame="1"/>
        </w:rPr>
        <w:t>(7) </w:t>
      </w:r>
      <w:r w:rsidRPr="0065647A">
        <w:rPr>
          <w:rStyle w:val="highwire-cite-metadata-pages"/>
          <w:rFonts w:asciiTheme="minorHAnsi" w:hAnsiTheme="minorHAnsi" w:cstheme="minorHAnsi"/>
          <w:bCs/>
          <w:bdr w:val="none" w:sz="0" w:space="0" w:color="auto" w:frame="1"/>
        </w:rPr>
        <w:t>1058-1065; </w:t>
      </w:r>
      <w:r w:rsidRPr="0065647A">
        <w:rPr>
          <w:rStyle w:val="highwire-cite-metadata-doi"/>
          <w:rFonts w:asciiTheme="minorHAnsi" w:hAnsiTheme="minorHAnsi" w:cstheme="minorHAnsi"/>
          <w:bCs/>
          <w:bdr w:val="none" w:sz="0" w:space="0" w:color="auto" w:frame="1"/>
        </w:rPr>
        <w:t xml:space="preserve">DOI: </w:t>
      </w:r>
      <w:hyperlink r:id="rId31" w:history="1">
        <w:r w:rsidR="00BE50EE" w:rsidRPr="0065647A">
          <w:rPr>
            <w:rStyle w:val="Hyperlink"/>
            <w:rFonts w:asciiTheme="minorHAnsi" w:hAnsiTheme="minorHAnsi" w:cstheme="minorHAnsi"/>
            <w:bCs/>
            <w:color w:val="auto"/>
            <w:bdr w:val="none" w:sz="0" w:space="0" w:color="auto" w:frame="1"/>
          </w:rPr>
          <w:t>https://doi.org/10.3899/jrheum.161255</w:t>
        </w:r>
      </w:hyperlink>
    </w:p>
    <w:p w14:paraId="1DBED262" w14:textId="40A083E9" w:rsidR="00BE50EE" w:rsidRPr="0065647A" w:rsidRDefault="00BE50EE" w:rsidP="0065647A">
      <w:pPr>
        <w:pStyle w:val="ListParagraph"/>
        <w:numPr>
          <w:ilvl w:val="0"/>
          <w:numId w:val="26"/>
        </w:numPr>
        <w:shd w:val="clear" w:color="auto" w:fill="FFFFFF"/>
        <w:spacing w:line="319" w:lineRule="atLeast"/>
        <w:jc w:val="both"/>
        <w:textAlignment w:val="baseline"/>
        <w:rPr>
          <w:rFonts w:asciiTheme="minorHAnsi" w:hAnsiTheme="minorHAnsi" w:cstheme="minorHAnsi"/>
          <w:bCs/>
        </w:rPr>
      </w:pPr>
      <w:r w:rsidRPr="0065647A">
        <w:rPr>
          <w:rFonts w:asciiTheme="minorHAnsi" w:hAnsiTheme="minorHAnsi" w:cstheme="minorHAnsi"/>
          <w:bCs/>
        </w:rPr>
        <w:lastRenderedPageBreak/>
        <w:t>Pamidronate in chronic non-bacterial osteomyelitis: a randomized, double-blinded, placebo-controlled pilot trial</w:t>
      </w:r>
      <w:r w:rsidR="0065647A" w:rsidRPr="0065647A">
        <w:rPr>
          <w:rFonts w:asciiTheme="minorHAnsi" w:hAnsiTheme="minorHAnsi" w:cstheme="minorHAnsi"/>
          <w:bCs/>
        </w:rPr>
        <w:t xml:space="preserve">, Andreasen et al, </w:t>
      </w:r>
      <w:proofErr w:type="spellStart"/>
      <w:r w:rsidRPr="0065647A">
        <w:rPr>
          <w:rFonts w:asciiTheme="minorHAnsi" w:hAnsiTheme="minorHAnsi" w:cstheme="minorHAnsi"/>
          <w:bCs/>
          <w:lang w:eastAsia="en-GB"/>
        </w:rPr>
        <w:t>Scand</w:t>
      </w:r>
      <w:proofErr w:type="spellEnd"/>
      <w:r w:rsidRPr="0065647A">
        <w:rPr>
          <w:rFonts w:asciiTheme="minorHAnsi" w:hAnsiTheme="minorHAnsi" w:cstheme="minorHAnsi"/>
          <w:bCs/>
          <w:lang w:eastAsia="en-GB"/>
        </w:rPr>
        <w:t xml:space="preserve"> J </w:t>
      </w:r>
      <w:proofErr w:type="spellStart"/>
      <w:r w:rsidRPr="0065647A">
        <w:rPr>
          <w:rFonts w:asciiTheme="minorHAnsi" w:hAnsiTheme="minorHAnsi" w:cstheme="minorHAnsi"/>
          <w:bCs/>
          <w:lang w:eastAsia="en-GB"/>
        </w:rPr>
        <w:t>Rheumatol</w:t>
      </w:r>
      <w:proofErr w:type="spellEnd"/>
      <w:r w:rsidR="0065647A" w:rsidRPr="0065647A">
        <w:rPr>
          <w:rFonts w:asciiTheme="minorHAnsi" w:hAnsiTheme="minorHAnsi" w:cstheme="minorHAnsi"/>
          <w:bCs/>
          <w:lang w:eastAsia="en-GB"/>
        </w:rPr>
        <w:t xml:space="preserve">, </w:t>
      </w:r>
      <w:r w:rsidRPr="0065647A">
        <w:rPr>
          <w:rFonts w:asciiTheme="minorHAnsi" w:hAnsiTheme="minorHAnsi" w:cstheme="minorHAnsi"/>
          <w:bCs/>
          <w:shd w:val="clear" w:color="auto" w:fill="FFFFFF"/>
          <w:lang w:eastAsia="en-GB"/>
        </w:rPr>
        <w:t>2020 Jul;49(4):312-322.</w:t>
      </w:r>
    </w:p>
    <w:p w14:paraId="535D4908" w14:textId="2DE07D0F" w:rsidR="00F4284A" w:rsidRPr="0065647A" w:rsidRDefault="00F4284A" w:rsidP="0065647A">
      <w:pPr>
        <w:pStyle w:val="ListParagraph"/>
        <w:numPr>
          <w:ilvl w:val="0"/>
          <w:numId w:val="26"/>
        </w:numPr>
        <w:shd w:val="clear" w:color="auto" w:fill="FFFFFF"/>
        <w:jc w:val="both"/>
        <w:rPr>
          <w:rFonts w:asciiTheme="minorHAnsi" w:hAnsiTheme="minorHAnsi" w:cstheme="minorHAnsi"/>
          <w:bCs/>
        </w:rPr>
      </w:pPr>
      <w:r w:rsidRPr="0065647A">
        <w:rPr>
          <w:rFonts w:asciiTheme="minorHAnsi" w:hAnsiTheme="minorHAnsi" w:cstheme="minorHAnsi"/>
          <w:bCs/>
        </w:rPr>
        <w:t>Response to Early-onset Pamidronate Treatment in Chronic Nonbacterial Osteomyelitis: A Retrospective Single-</w:t>
      </w:r>
      <w:proofErr w:type="spellStart"/>
      <w:r w:rsidRPr="0065647A">
        <w:rPr>
          <w:rFonts w:asciiTheme="minorHAnsi" w:hAnsiTheme="minorHAnsi" w:cstheme="minorHAnsi"/>
          <w:bCs/>
        </w:rPr>
        <w:t>center</w:t>
      </w:r>
      <w:proofErr w:type="spellEnd"/>
      <w:r w:rsidRPr="0065647A">
        <w:rPr>
          <w:rFonts w:asciiTheme="minorHAnsi" w:hAnsiTheme="minorHAnsi" w:cstheme="minorHAnsi"/>
          <w:bCs/>
        </w:rPr>
        <w:t xml:space="preserve"> Study</w:t>
      </w:r>
      <w:r w:rsidR="0065647A" w:rsidRPr="0065647A">
        <w:rPr>
          <w:rFonts w:asciiTheme="minorHAnsi" w:hAnsiTheme="minorHAnsi" w:cstheme="minorHAnsi"/>
          <w:bCs/>
        </w:rPr>
        <w:t xml:space="preserve">, Andreasen et al, J </w:t>
      </w:r>
      <w:proofErr w:type="spellStart"/>
      <w:r w:rsidR="0065647A" w:rsidRPr="0065647A">
        <w:rPr>
          <w:rFonts w:asciiTheme="minorHAnsi" w:hAnsiTheme="minorHAnsi" w:cstheme="minorHAnsi"/>
          <w:bCs/>
        </w:rPr>
        <w:t>Rheumatol</w:t>
      </w:r>
      <w:proofErr w:type="spellEnd"/>
      <w:proofErr w:type="gramStart"/>
      <w:r w:rsidR="0065647A" w:rsidRPr="0065647A">
        <w:rPr>
          <w:rFonts w:asciiTheme="minorHAnsi" w:hAnsiTheme="minorHAnsi" w:cstheme="minorHAnsi"/>
          <w:bCs/>
        </w:rPr>
        <w:t xml:space="preserve">, </w:t>
      </w:r>
      <w:r w:rsidR="0065647A" w:rsidRPr="0065647A">
        <w:rPr>
          <w:rFonts w:asciiTheme="minorHAnsi" w:hAnsiTheme="minorHAnsi" w:cstheme="minorHAnsi"/>
          <w:bCs/>
          <w:lang w:eastAsia="en-GB"/>
        </w:rPr>
        <w:t>.</w:t>
      </w:r>
      <w:proofErr w:type="gramEnd"/>
      <w:r w:rsidR="0065647A" w:rsidRPr="0065647A">
        <w:rPr>
          <w:rFonts w:asciiTheme="minorHAnsi" w:hAnsiTheme="minorHAnsi" w:cstheme="minorHAnsi"/>
          <w:bCs/>
          <w:lang w:eastAsia="en-GB"/>
        </w:rPr>
        <w:t> 2019 Nov;46(11):1515-1523.</w:t>
      </w:r>
      <w:r w:rsidR="0065647A" w:rsidRPr="0065647A">
        <w:rPr>
          <w:rFonts w:asciiTheme="minorHAnsi" w:hAnsiTheme="minorHAnsi" w:cstheme="minorHAnsi"/>
          <w:bCs/>
          <w:shd w:val="clear" w:color="auto" w:fill="FFFFFF"/>
          <w:lang w:eastAsia="en-GB"/>
        </w:rPr>
        <w:t> </w:t>
      </w:r>
      <w:proofErr w:type="spellStart"/>
      <w:r w:rsidR="0065647A" w:rsidRPr="0065647A">
        <w:rPr>
          <w:rFonts w:asciiTheme="minorHAnsi" w:hAnsiTheme="minorHAnsi" w:cstheme="minorHAnsi"/>
          <w:bCs/>
          <w:shd w:val="clear" w:color="auto" w:fill="FFFFFF"/>
          <w:lang w:eastAsia="en-GB"/>
        </w:rPr>
        <w:t>doi</w:t>
      </w:r>
      <w:proofErr w:type="spellEnd"/>
      <w:r w:rsidR="0065647A" w:rsidRPr="0065647A">
        <w:rPr>
          <w:rFonts w:asciiTheme="minorHAnsi" w:hAnsiTheme="minorHAnsi" w:cstheme="minorHAnsi"/>
          <w:bCs/>
          <w:shd w:val="clear" w:color="auto" w:fill="FFFFFF"/>
          <w:lang w:eastAsia="en-GB"/>
        </w:rPr>
        <w:t>: 10.3899/jrheum.181254. </w:t>
      </w:r>
      <w:proofErr w:type="spellStart"/>
      <w:r w:rsidR="0065647A" w:rsidRPr="0065647A">
        <w:rPr>
          <w:rFonts w:asciiTheme="minorHAnsi" w:hAnsiTheme="minorHAnsi" w:cstheme="minorHAnsi"/>
          <w:bCs/>
          <w:shd w:val="clear" w:color="auto" w:fill="FFFFFF"/>
          <w:lang w:eastAsia="en-GB"/>
        </w:rPr>
        <w:t>Epub</w:t>
      </w:r>
      <w:proofErr w:type="spellEnd"/>
      <w:r w:rsidR="0065647A" w:rsidRPr="0065647A">
        <w:rPr>
          <w:rFonts w:asciiTheme="minorHAnsi" w:hAnsiTheme="minorHAnsi" w:cstheme="minorHAnsi"/>
          <w:bCs/>
          <w:shd w:val="clear" w:color="auto" w:fill="FFFFFF"/>
          <w:lang w:eastAsia="en-GB"/>
        </w:rPr>
        <w:t xml:space="preserve"> 2019 Apr 15.</w:t>
      </w:r>
    </w:p>
    <w:p w14:paraId="1D51E9BE" w14:textId="77CAC7C5" w:rsidR="000B0587" w:rsidRPr="0065647A" w:rsidRDefault="00AD171D" w:rsidP="0065647A">
      <w:pPr>
        <w:pStyle w:val="ListParagraph"/>
        <w:numPr>
          <w:ilvl w:val="0"/>
          <w:numId w:val="30"/>
        </w:numPr>
        <w:jc w:val="both"/>
        <w:rPr>
          <w:rFonts w:asciiTheme="minorHAnsi" w:hAnsiTheme="minorHAnsi" w:cstheme="minorHAnsi"/>
          <w:b/>
          <w:color w:val="00A2E5"/>
        </w:rPr>
      </w:pPr>
      <w:r w:rsidRPr="0065647A">
        <w:rPr>
          <w:rFonts w:asciiTheme="minorHAnsi" w:hAnsiTheme="minorHAnsi" w:cstheme="minorHAnsi"/>
          <w:bCs/>
          <w:shd w:val="clear" w:color="auto" w:fill="FFFFFF"/>
        </w:rPr>
        <w:t xml:space="preserve">Kerrison C, Davidson JE, Cleary </w:t>
      </w:r>
      <w:proofErr w:type="spellStart"/>
      <w:r w:rsidRPr="0065647A">
        <w:rPr>
          <w:rFonts w:asciiTheme="minorHAnsi" w:hAnsiTheme="minorHAnsi" w:cstheme="minorHAnsi"/>
          <w:bCs/>
          <w:shd w:val="clear" w:color="auto" w:fill="FFFFFF"/>
        </w:rPr>
        <w:t>aG</w:t>
      </w:r>
      <w:proofErr w:type="spellEnd"/>
      <w:r w:rsidRPr="0065647A">
        <w:rPr>
          <w:rFonts w:asciiTheme="minorHAnsi" w:hAnsiTheme="minorHAnsi" w:cstheme="minorHAnsi"/>
          <w:bCs/>
          <w:shd w:val="clear" w:color="auto" w:fill="FFFFFF"/>
        </w:rPr>
        <w:t>, Beresford MW. Pamidronate in the treatment of childhood SAPHO syndrome. </w:t>
      </w:r>
      <w:r w:rsidRPr="0065647A">
        <w:rPr>
          <w:rStyle w:val="ref-journal"/>
          <w:rFonts w:asciiTheme="minorHAnsi" w:hAnsiTheme="minorHAnsi" w:cstheme="minorHAnsi"/>
          <w:bCs/>
          <w:i/>
          <w:iCs/>
          <w:shd w:val="clear" w:color="auto" w:fill="FFFFFF"/>
        </w:rPr>
        <w:t>Rheumatology (Oxford) </w:t>
      </w:r>
      <w:proofErr w:type="gramStart"/>
      <w:r w:rsidRPr="0065647A">
        <w:rPr>
          <w:rFonts w:asciiTheme="minorHAnsi" w:hAnsiTheme="minorHAnsi" w:cstheme="minorHAnsi"/>
          <w:bCs/>
          <w:shd w:val="clear" w:color="auto" w:fill="FFFFFF"/>
        </w:rPr>
        <w:t>2004;</w:t>
      </w:r>
      <w:r w:rsidRPr="0065647A">
        <w:rPr>
          <w:rStyle w:val="ref-vol"/>
          <w:rFonts w:asciiTheme="minorHAnsi" w:hAnsiTheme="minorHAnsi" w:cstheme="minorHAnsi"/>
          <w:bCs/>
          <w:shd w:val="clear" w:color="auto" w:fill="FFFFFF"/>
        </w:rPr>
        <w:t>43</w:t>
      </w:r>
      <w:r w:rsidRPr="0065647A">
        <w:rPr>
          <w:rFonts w:asciiTheme="minorHAnsi" w:hAnsiTheme="minorHAnsi" w:cstheme="minorHAnsi"/>
          <w:bCs/>
          <w:shd w:val="clear" w:color="auto" w:fill="FFFFFF"/>
        </w:rPr>
        <w:t>:124</w:t>
      </w:r>
      <w:r w:rsidRPr="0065647A">
        <w:rPr>
          <w:rFonts w:asciiTheme="minorHAnsi" w:hAnsiTheme="minorHAnsi" w:cstheme="minorHAnsi"/>
          <w:color w:val="212121"/>
          <w:shd w:val="clear" w:color="auto" w:fill="FFFFFF"/>
        </w:rPr>
        <w:t>6</w:t>
      </w:r>
      <w:proofErr w:type="gramEnd"/>
      <w:r w:rsidRPr="0065647A">
        <w:rPr>
          <w:rFonts w:asciiTheme="minorHAnsi" w:hAnsiTheme="minorHAnsi" w:cstheme="minorHAnsi"/>
          <w:color w:val="212121"/>
          <w:shd w:val="clear" w:color="auto" w:fill="FFFFFF"/>
        </w:rPr>
        <w:t>–51.</w:t>
      </w:r>
    </w:p>
    <w:p w14:paraId="2FDDDFAF" w14:textId="77777777" w:rsidR="00AD171D" w:rsidRPr="0065647A" w:rsidRDefault="00AD171D" w:rsidP="0065647A">
      <w:pPr>
        <w:pStyle w:val="ListParagraph"/>
        <w:numPr>
          <w:ilvl w:val="0"/>
          <w:numId w:val="30"/>
        </w:numPr>
        <w:shd w:val="clear" w:color="auto" w:fill="FFFFFF"/>
        <w:spacing w:before="200"/>
        <w:jc w:val="both"/>
        <w:rPr>
          <w:rFonts w:asciiTheme="minorHAnsi" w:hAnsiTheme="minorHAnsi" w:cstheme="minorHAnsi"/>
          <w:color w:val="212121"/>
        </w:rPr>
      </w:pPr>
      <w:proofErr w:type="spellStart"/>
      <w:r w:rsidRPr="0065647A">
        <w:rPr>
          <w:rStyle w:val="element-citation"/>
          <w:rFonts w:asciiTheme="minorHAnsi" w:hAnsiTheme="minorHAnsi" w:cstheme="minorHAnsi"/>
          <w:color w:val="212121"/>
        </w:rPr>
        <w:t>Simm</w:t>
      </w:r>
      <w:proofErr w:type="spellEnd"/>
      <w:r w:rsidRPr="0065647A">
        <w:rPr>
          <w:rStyle w:val="element-citation"/>
          <w:rFonts w:asciiTheme="minorHAnsi" w:hAnsiTheme="minorHAnsi" w:cstheme="minorHAnsi"/>
          <w:color w:val="212121"/>
        </w:rPr>
        <w:t xml:space="preserve"> P, Allen R, </w:t>
      </w:r>
      <w:proofErr w:type="spellStart"/>
      <w:r w:rsidRPr="0065647A">
        <w:rPr>
          <w:rStyle w:val="element-citation"/>
          <w:rFonts w:asciiTheme="minorHAnsi" w:hAnsiTheme="minorHAnsi" w:cstheme="minorHAnsi"/>
          <w:color w:val="212121"/>
        </w:rPr>
        <w:t>Zacharin</w:t>
      </w:r>
      <w:proofErr w:type="spellEnd"/>
      <w:r w:rsidRPr="0065647A">
        <w:rPr>
          <w:rStyle w:val="element-citation"/>
          <w:rFonts w:asciiTheme="minorHAnsi" w:hAnsiTheme="minorHAnsi" w:cstheme="minorHAnsi"/>
          <w:color w:val="212121"/>
        </w:rPr>
        <w:t xml:space="preserve"> M. Bisphosphonate Treatment in Chronic Recurrent Multifocal Osteomyelitis. </w:t>
      </w:r>
      <w:r w:rsidRPr="0065647A">
        <w:rPr>
          <w:rStyle w:val="ref-journal"/>
          <w:rFonts w:asciiTheme="minorHAnsi" w:hAnsiTheme="minorHAnsi" w:cstheme="minorHAnsi"/>
          <w:i/>
          <w:iCs/>
          <w:color w:val="212121"/>
        </w:rPr>
        <w:t xml:space="preserve">J </w:t>
      </w:r>
      <w:proofErr w:type="spellStart"/>
      <w:r w:rsidRPr="0065647A">
        <w:rPr>
          <w:rStyle w:val="ref-journal"/>
          <w:rFonts w:asciiTheme="minorHAnsi" w:hAnsiTheme="minorHAnsi" w:cstheme="minorHAnsi"/>
          <w:i/>
          <w:iCs/>
          <w:color w:val="212121"/>
        </w:rPr>
        <w:t>Pediatr</w:t>
      </w:r>
      <w:proofErr w:type="spellEnd"/>
      <w:r w:rsidRPr="0065647A">
        <w:rPr>
          <w:rStyle w:val="ref-journal"/>
          <w:rFonts w:asciiTheme="minorHAnsi" w:hAnsiTheme="minorHAnsi" w:cstheme="minorHAnsi"/>
          <w:i/>
          <w:iCs/>
          <w:color w:val="212121"/>
        </w:rPr>
        <w:t>. </w:t>
      </w:r>
      <w:proofErr w:type="gramStart"/>
      <w:r w:rsidRPr="0065647A">
        <w:rPr>
          <w:rStyle w:val="element-citation"/>
          <w:rFonts w:asciiTheme="minorHAnsi" w:hAnsiTheme="minorHAnsi" w:cstheme="minorHAnsi"/>
          <w:color w:val="212121"/>
        </w:rPr>
        <w:t>2008;</w:t>
      </w:r>
      <w:r w:rsidRPr="0065647A">
        <w:rPr>
          <w:rStyle w:val="ref-vol"/>
          <w:rFonts w:asciiTheme="minorHAnsi" w:hAnsiTheme="minorHAnsi" w:cstheme="minorHAnsi"/>
          <w:color w:val="212121"/>
        </w:rPr>
        <w:t>152</w:t>
      </w:r>
      <w:r w:rsidRPr="0065647A">
        <w:rPr>
          <w:rStyle w:val="element-citation"/>
          <w:rFonts w:asciiTheme="minorHAnsi" w:hAnsiTheme="minorHAnsi" w:cstheme="minorHAnsi"/>
          <w:color w:val="212121"/>
        </w:rPr>
        <w:t>:571</w:t>
      </w:r>
      <w:proofErr w:type="gramEnd"/>
      <w:r w:rsidRPr="0065647A">
        <w:rPr>
          <w:rStyle w:val="element-citation"/>
          <w:rFonts w:asciiTheme="minorHAnsi" w:hAnsiTheme="minorHAnsi" w:cstheme="minorHAnsi"/>
          <w:color w:val="212121"/>
        </w:rPr>
        <w:t>–575. [</w:t>
      </w:r>
      <w:hyperlink r:id="rId32" w:history="1">
        <w:r w:rsidRPr="0065647A">
          <w:rPr>
            <w:rStyle w:val="Hyperlink"/>
            <w:rFonts w:asciiTheme="minorHAnsi" w:hAnsiTheme="minorHAnsi" w:cstheme="minorHAnsi"/>
            <w:color w:val="376FAA"/>
          </w:rPr>
          <w:t>PubMed</w:t>
        </w:r>
      </w:hyperlink>
      <w:r w:rsidRPr="0065647A">
        <w:rPr>
          <w:rStyle w:val="element-citation"/>
          <w:rFonts w:asciiTheme="minorHAnsi" w:hAnsiTheme="minorHAnsi" w:cstheme="minorHAnsi"/>
          <w:color w:val="212121"/>
        </w:rPr>
        <w:t>] </w:t>
      </w:r>
      <w:r w:rsidRPr="0065647A">
        <w:rPr>
          <w:rStyle w:val="nowrap"/>
          <w:rFonts w:asciiTheme="minorHAnsi" w:hAnsiTheme="minorHAnsi" w:cstheme="minorHAnsi"/>
          <w:color w:val="212121"/>
        </w:rPr>
        <w:t>[</w:t>
      </w:r>
      <w:hyperlink r:id="rId33" w:tgtFrame="_blank" w:history="1">
        <w:r w:rsidRPr="0065647A">
          <w:rPr>
            <w:rStyle w:val="Hyperlink"/>
            <w:rFonts w:asciiTheme="minorHAnsi" w:hAnsiTheme="minorHAnsi" w:cstheme="minorHAnsi"/>
            <w:color w:val="376FAA"/>
          </w:rPr>
          <w:t>Google Scholar</w:t>
        </w:r>
      </w:hyperlink>
      <w:r w:rsidRPr="0065647A">
        <w:rPr>
          <w:rStyle w:val="nowrap"/>
          <w:rFonts w:asciiTheme="minorHAnsi" w:hAnsiTheme="minorHAnsi" w:cstheme="minorHAnsi"/>
          <w:color w:val="212121"/>
        </w:rPr>
        <w:t>]</w:t>
      </w:r>
    </w:p>
    <w:p w14:paraId="6DDB18BC" w14:textId="77777777" w:rsidR="00AD171D" w:rsidRPr="0065647A" w:rsidRDefault="00AD171D" w:rsidP="0065647A">
      <w:pPr>
        <w:pStyle w:val="ListParagraph"/>
        <w:numPr>
          <w:ilvl w:val="0"/>
          <w:numId w:val="30"/>
        </w:numPr>
        <w:shd w:val="clear" w:color="auto" w:fill="FFFFFF"/>
        <w:spacing w:before="200"/>
        <w:jc w:val="both"/>
        <w:rPr>
          <w:rFonts w:asciiTheme="minorHAnsi" w:hAnsiTheme="minorHAnsi" w:cstheme="minorHAnsi"/>
          <w:color w:val="212121"/>
        </w:rPr>
      </w:pPr>
      <w:r w:rsidRPr="0065647A">
        <w:rPr>
          <w:rFonts w:asciiTheme="minorHAnsi" w:hAnsiTheme="minorHAnsi" w:cstheme="minorHAnsi"/>
          <w:color w:val="212121"/>
        </w:rPr>
        <w:t>11. </w:t>
      </w:r>
      <w:proofErr w:type="spellStart"/>
      <w:r w:rsidRPr="0065647A">
        <w:rPr>
          <w:rStyle w:val="element-citation"/>
          <w:rFonts w:asciiTheme="minorHAnsi" w:hAnsiTheme="minorHAnsi" w:cstheme="minorHAnsi"/>
          <w:color w:val="212121"/>
        </w:rPr>
        <w:t>Miettunen</w:t>
      </w:r>
      <w:proofErr w:type="spellEnd"/>
      <w:r w:rsidRPr="0065647A">
        <w:rPr>
          <w:rStyle w:val="element-citation"/>
          <w:rFonts w:asciiTheme="minorHAnsi" w:hAnsiTheme="minorHAnsi" w:cstheme="minorHAnsi"/>
          <w:color w:val="212121"/>
        </w:rPr>
        <w:t xml:space="preserve"> PM, Wei X, </w:t>
      </w:r>
      <w:proofErr w:type="spellStart"/>
      <w:r w:rsidRPr="0065647A">
        <w:rPr>
          <w:rStyle w:val="element-citation"/>
          <w:rFonts w:asciiTheme="minorHAnsi" w:hAnsiTheme="minorHAnsi" w:cstheme="minorHAnsi"/>
          <w:color w:val="212121"/>
        </w:rPr>
        <w:t>Kaura</w:t>
      </w:r>
      <w:proofErr w:type="spellEnd"/>
      <w:r w:rsidRPr="0065647A">
        <w:rPr>
          <w:rStyle w:val="element-citation"/>
          <w:rFonts w:asciiTheme="minorHAnsi" w:hAnsiTheme="minorHAnsi" w:cstheme="minorHAnsi"/>
          <w:color w:val="212121"/>
        </w:rPr>
        <w:t xml:space="preserve"> D, </w:t>
      </w:r>
      <w:proofErr w:type="spellStart"/>
      <w:r w:rsidRPr="0065647A">
        <w:rPr>
          <w:rStyle w:val="element-citation"/>
          <w:rFonts w:asciiTheme="minorHAnsi" w:hAnsiTheme="minorHAnsi" w:cstheme="minorHAnsi"/>
          <w:color w:val="212121"/>
        </w:rPr>
        <w:t>Reslan</w:t>
      </w:r>
      <w:proofErr w:type="spellEnd"/>
      <w:r w:rsidRPr="0065647A">
        <w:rPr>
          <w:rStyle w:val="element-citation"/>
          <w:rFonts w:asciiTheme="minorHAnsi" w:hAnsiTheme="minorHAnsi" w:cstheme="minorHAnsi"/>
          <w:color w:val="212121"/>
        </w:rPr>
        <w:t xml:space="preserve"> WA, Aguirre AN, Kellner JD. Dramatic pain relief and resolution of bone inflammation following pamidronate in 9 </w:t>
      </w:r>
      <w:proofErr w:type="spellStart"/>
      <w:r w:rsidRPr="0065647A">
        <w:rPr>
          <w:rStyle w:val="element-citation"/>
          <w:rFonts w:asciiTheme="minorHAnsi" w:hAnsiTheme="minorHAnsi" w:cstheme="minorHAnsi"/>
          <w:color w:val="212121"/>
        </w:rPr>
        <w:t>pediatric</w:t>
      </w:r>
      <w:proofErr w:type="spellEnd"/>
      <w:r w:rsidRPr="0065647A">
        <w:rPr>
          <w:rStyle w:val="element-citation"/>
          <w:rFonts w:asciiTheme="minorHAnsi" w:hAnsiTheme="minorHAnsi" w:cstheme="minorHAnsi"/>
          <w:color w:val="212121"/>
        </w:rPr>
        <w:t xml:space="preserve"> patients with persistent chronic recurrent multifocal osteomyelitis (CRMO) </w:t>
      </w:r>
      <w:proofErr w:type="spellStart"/>
      <w:r w:rsidRPr="0065647A">
        <w:rPr>
          <w:rStyle w:val="ref-journal"/>
          <w:rFonts w:asciiTheme="minorHAnsi" w:hAnsiTheme="minorHAnsi" w:cstheme="minorHAnsi"/>
          <w:i/>
          <w:iCs/>
          <w:color w:val="212121"/>
        </w:rPr>
        <w:t>Pediatr</w:t>
      </w:r>
      <w:proofErr w:type="spellEnd"/>
      <w:r w:rsidRPr="0065647A">
        <w:rPr>
          <w:rStyle w:val="ref-journal"/>
          <w:rFonts w:asciiTheme="minorHAnsi" w:hAnsiTheme="minorHAnsi" w:cstheme="minorHAnsi"/>
          <w:i/>
          <w:iCs/>
          <w:color w:val="212121"/>
        </w:rPr>
        <w:t xml:space="preserve"> </w:t>
      </w:r>
      <w:proofErr w:type="spellStart"/>
      <w:r w:rsidRPr="0065647A">
        <w:rPr>
          <w:rStyle w:val="ref-journal"/>
          <w:rFonts w:asciiTheme="minorHAnsi" w:hAnsiTheme="minorHAnsi" w:cstheme="minorHAnsi"/>
          <w:i/>
          <w:iCs/>
          <w:color w:val="212121"/>
        </w:rPr>
        <w:t>Rheumatol</w:t>
      </w:r>
      <w:proofErr w:type="spellEnd"/>
      <w:r w:rsidRPr="0065647A">
        <w:rPr>
          <w:rStyle w:val="ref-journal"/>
          <w:rFonts w:asciiTheme="minorHAnsi" w:hAnsiTheme="minorHAnsi" w:cstheme="minorHAnsi"/>
          <w:i/>
          <w:iCs/>
          <w:color w:val="212121"/>
        </w:rPr>
        <w:t xml:space="preserve"> Online J. </w:t>
      </w:r>
      <w:proofErr w:type="gramStart"/>
      <w:r w:rsidRPr="0065647A">
        <w:rPr>
          <w:rStyle w:val="element-citation"/>
          <w:rFonts w:asciiTheme="minorHAnsi" w:hAnsiTheme="minorHAnsi" w:cstheme="minorHAnsi"/>
          <w:color w:val="212121"/>
        </w:rPr>
        <w:t>2009;</w:t>
      </w:r>
      <w:r w:rsidRPr="0065647A">
        <w:rPr>
          <w:rStyle w:val="ref-vol"/>
          <w:rFonts w:asciiTheme="minorHAnsi" w:hAnsiTheme="minorHAnsi" w:cstheme="minorHAnsi"/>
          <w:color w:val="212121"/>
        </w:rPr>
        <w:t>7</w:t>
      </w:r>
      <w:r w:rsidRPr="0065647A">
        <w:rPr>
          <w:rStyle w:val="element-citation"/>
          <w:rFonts w:asciiTheme="minorHAnsi" w:hAnsiTheme="minorHAnsi" w:cstheme="minorHAnsi"/>
          <w:color w:val="212121"/>
        </w:rPr>
        <w:t>:2</w:t>
      </w:r>
      <w:proofErr w:type="gramEnd"/>
      <w:r w:rsidRPr="0065647A">
        <w:rPr>
          <w:rStyle w:val="element-citation"/>
          <w:rFonts w:asciiTheme="minorHAnsi" w:hAnsiTheme="minorHAnsi" w:cstheme="minorHAnsi"/>
          <w:color w:val="212121"/>
        </w:rPr>
        <w:t>.</w:t>
      </w:r>
    </w:p>
    <w:p w14:paraId="15446667" w14:textId="4F82754C" w:rsidR="00AD171D" w:rsidRPr="0065647A" w:rsidRDefault="00AD171D" w:rsidP="0065647A">
      <w:pPr>
        <w:pStyle w:val="ListParagraph"/>
        <w:numPr>
          <w:ilvl w:val="0"/>
          <w:numId w:val="30"/>
        </w:numPr>
        <w:jc w:val="both"/>
        <w:rPr>
          <w:rFonts w:asciiTheme="minorHAnsi" w:hAnsiTheme="minorHAnsi" w:cstheme="minorHAnsi"/>
          <w:b/>
          <w:color w:val="00A2E5"/>
        </w:rPr>
      </w:pPr>
      <w:r w:rsidRPr="0065647A">
        <w:rPr>
          <w:rFonts w:asciiTheme="minorHAnsi" w:hAnsiTheme="minorHAnsi" w:cstheme="minorHAnsi"/>
          <w:color w:val="212121"/>
          <w:shd w:val="clear" w:color="auto" w:fill="FFFFFF"/>
        </w:rPr>
        <w:t xml:space="preserve">Gleeson H, Wiltshire E, </w:t>
      </w:r>
      <w:proofErr w:type="spellStart"/>
      <w:r w:rsidRPr="0065647A">
        <w:rPr>
          <w:rFonts w:asciiTheme="minorHAnsi" w:hAnsiTheme="minorHAnsi" w:cstheme="minorHAnsi"/>
          <w:color w:val="212121"/>
          <w:shd w:val="clear" w:color="auto" w:fill="FFFFFF"/>
        </w:rPr>
        <w:t>Briody</w:t>
      </w:r>
      <w:proofErr w:type="spellEnd"/>
      <w:r w:rsidRPr="0065647A">
        <w:rPr>
          <w:rFonts w:asciiTheme="minorHAnsi" w:hAnsiTheme="minorHAnsi" w:cstheme="minorHAnsi"/>
          <w:color w:val="212121"/>
          <w:shd w:val="clear" w:color="auto" w:fill="FFFFFF"/>
        </w:rPr>
        <w:t xml:space="preserve"> J, Hall J, </w:t>
      </w:r>
      <w:proofErr w:type="spellStart"/>
      <w:r w:rsidRPr="0065647A">
        <w:rPr>
          <w:rFonts w:asciiTheme="minorHAnsi" w:hAnsiTheme="minorHAnsi" w:cstheme="minorHAnsi"/>
          <w:color w:val="212121"/>
          <w:shd w:val="clear" w:color="auto" w:fill="FFFFFF"/>
        </w:rPr>
        <w:t>Chaitow</w:t>
      </w:r>
      <w:proofErr w:type="spellEnd"/>
      <w:r w:rsidRPr="0065647A">
        <w:rPr>
          <w:rFonts w:asciiTheme="minorHAnsi" w:hAnsiTheme="minorHAnsi" w:cstheme="minorHAnsi"/>
          <w:color w:val="212121"/>
          <w:shd w:val="clear" w:color="auto" w:fill="FFFFFF"/>
        </w:rPr>
        <w:t xml:space="preserve"> J, </w:t>
      </w:r>
      <w:proofErr w:type="spellStart"/>
      <w:r w:rsidRPr="0065647A">
        <w:rPr>
          <w:rFonts w:asciiTheme="minorHAnsi" w:hAnsiTheme="minorHAnsi" w:cstheme="minorHAnsi"/>
          <w:color w:val="212121"/>
          <w:shd w:val="clear" w:color="auto" w:fill="FFFFFF"/>
        </w:rPr>
        <w:t>Sillence</w:t>
      </w:r>
      <w:proofErr w:type="spellEnd"/>
      <w:r w:rsidRPr="0065647A">
        <w:rPr>
          <w:rFonts w:asciiTheme="minorHAnsi" w:hAnsiTheme="minorHAnsi" w:cstheme="minorHAnsi"/>
          <w:color w:val="212121"/>
          <w:shd w:val="clear" w:color="auto" w:fill="FFFFFF"/>
        </w:rPr>
        <w:t xml:space="preserve"> D, et al. Childhood Chronic Recurrent Multifocal Osteomyelitis: Pamidronate Therapy Decreases Pain and Improves Vertebral Shape. </w:t>
      </w:r>
      <w:r w:rsidRPr="0065647A">
        <w:rPr>
          <w:rStyle w:val="ref-journal"/>
          <w:rFonts w:asciiTheme="minorHAnsi" w:hAnsiTheme="minorHAnsi" w:cstheme="minorHAnsi"/>
          <w:i/>
          <w:iCs/>
          <w:color w:val="212121"/>
          <w:shd w:val="clear" w:color="auto" w:fill="FFFFFF"/>
        </w:rPr>
        <w:t xml:space="preserve">J </w:t>
      </w:r>
      <w:proofErr w:type="spellStart"/>
      <w:r w:rsidRPr="0065647A">
        <w:rPr>
          <w:rStyle w:val="ref-journal"/>
          <w:rFonts w:asciiTheme="minorHAnsi" w:hAnsiTheme="minorHAnsi" w:cstheme="minorHAnsi"/>
          <w:i/>
          <w:iCs/>
          <w:color w:val="212121"/>
          <w:shd w:val="clear" w:color="auto" w:fill="FFFFFF"/>
        </w:rPr>
        <w:t>Rheumatol</w:t>
      </w:r>
      <w:proofErr w:type="spellEnd"/>
      <w:r w:rsidRPr="0065647A">
        <w:rPr>
          <w:rStyle w:val="ref-journal"/>
          <w:rFonts w:asciiTheme="minorHAnsi" w:hAnsiTheme="minorHAnsi" w:cstheme="minorHAnsi"/>
          <w:i/>
          <w:iCs/>
          <w:color w:val="212121"/>
          <w:shd w:val="clear" w:color="auto" w:fill="FFFFFF"/>
        </w:rPr>
        <w:t>. </w:t>
      </w:r>
      <w:proofErr w:type="gramStart"/>
      <w:r w:rsidRPr="0065647A">
        <w:rPr>
          <w:rFonts w:asciiTheme="minorHAnsi" w:hAnsiTheme="minorHAnsi" w:cstheme="minorHAnsi"/>
          <w:color w:val="212121"/>
          <w:shd w:val="clear" w:color="auto" w:fill="FFFFFF"/>
        </w:rPr>
        <w:t>2008;</w:t>
      </w:r>
      <w:r w:rsidRPr="0065647A">
        <w:rPr>
          <w:rStyle w:val="ref-vol"/>
          <w:rFonts w:asciiTheme="minorHAnsi" w:hAnsiTheme="minorHAnsi" w:cstheme="minorHAnsi"/>
          <w:color w:val="212121"/>
          <w:shd w:val="clear" w:color="auto" w:fill="FFFFFF"/>
        </w:rPr>
        <w:t>35</w:t>
      </w:r>
      <w:r w:rsidRPr="0065647A">
        <w:rPr>
          <w:rFonts w:asciiTheme="minorHAnsi" w:hAnsiTheme="minorHAnsi" w:cstheme="minorHAnsi"/>
          <w:color w:val="212121"/>
          <w:shd w:val="clear" w:color="auto" w:fill="FFFFFF"/>
        </w:rPr>
        <w:t>:707</w:t>
      </w:r>
      <w:proofErr w:type="gramEnd"/>
      <w:r w:rsidRPr="0065647A">
        <w:rPr>
          <w:rFonts w:asciiTheme="minorHAnsi" w:hAnsiTheme="minorHAnsi" w:cstheme="minorHAnsi"/>
          <w:color w:val="212121"/>
          <w:shd w:val="clear" w:color="auto" w:fill="FFFFFF"/>
        </w:rPr>
        <w:t>–712.</w:t>
      </w:r>
    </w:p>
    <w:p w14:paraId="5ADAC4AB" w14:textId="3E1A805D" w:rsidR="00AD171D" w:rsidRPr="0065647A" w:rsidRDefault="00AD171D" w:rsidP="0065647A">
      <w:pPr>
        <w:pStyle w:val="ListParagraph"/>
        <w:numPr>
          <w:ilvl w:val="0"/>
          <w:numId w:val="30"/>
        </w:numPr>
        <w:jc w:val="both"/>
        <w:rPr>
          <w:rFonts w:asciiTheme="minorHAnsi" w:hAnsiTheme="minorHAnsi" w:cstheme="minorHAnsi"/>
          <w:b/>
          <w:color w:val="00A2E5"/>
        </w:rPr>
      </w:pPr>
      <w:proofErr w:type="spellStart"/>
      <w:r w:rsidRPr="0065647A">
        <w:rPr>
          <w:rFonts w:asciiTheme="minorHAnsi" w:hAnsiTheme="minorHAnsi" w:cstheme="minorHAnsi"/>
          <w:color w:val="212121"/>
          <w:shd w:val="clear" w:color="auto" w:fill="FFFFFF"/>
        </w:rPr>
        <w:t>Hospach</w:t>
      </w:r>
      <w:proofErr w:type="spellEnd"/>
      <w:r w:rsidRPr="0065647A">
        <w:rPr>
          <w:rFonts w:asciiTheme="minorHAnsi" w:hAnsiTheme="minorHAnsi" w:cstheme="minorHAnsi"/>
          <w:color w:val="212121"/>
          <w:shd w:val="clear" w:color="auto" w:fill="FFFFFF"/>
        </w:rPr>
        <w:t xml:space="preserve"> T, </w:t>
      </w:r>
      <w:proofErr w:type="spellStart"/>
      <w:r w:rsidRPr="0065647A">
        <w:rPr>
          <w:rFonts w:asciiTheme="minorHAnsi" w:hAnsiTheme="minorHAnsi" w:cstheme="minorHAnsi"/>
          <w:color w:val="212121"/>
          <w:shd w:val="clear" w:color="auto" w:fill="FFFFFF"/>
        </w:rPr>
        <w:t>Langendoerfer</w:t>
      </w:r>
      <w:proofErr w:type="spellEnd"/>
      <w:r w:rsidRPr="0065647A">
        <w:rPr>
          <w:rFonts w:asciiTheme="minorHAnsi" w:hAnsiTheme="minorHAnsi" w:cstheme="minorHAnsi"/>
          <w:color w:val="212121"/>
          <w:shd w:val="clear" w:color="auto" w:fill="FFFFFF"/>
        </w:rPr>
        <w:t xml:space="preserve"> M, </w:t>
      </w:r>
      <w:proofErr w:type="spellStart"/>
      <w:r w:rsidRPr="0065647A">
        <w:rPr>
          <w:rFonts w:asciiTheme="minorHAnsi" w:hAnsiTheme="minorHAnsi" w:cstheme="minorHAnsi"/>
          <w:color w:val="212121"/>
          <w:shd w:val="clear" w:color="auto" w:fill="FFFFFF"/>
        </w:rPr>
        <w:t>Kalle</w:t>
      </w:r>
      <w:proofErr w:type="spellEnd"/>
      <w:r w:rsidRPr="0065647A">
        <w:rPr>
          <w:rFonts w:asciiTheme="minorHAnsi" w:hAnsiTheme="minorHAnsi" w:cstheme="minorHAnsi"/>
          <w:color w:val="212121"/>
          <w:shd w:val="clear" w:color="auto" w:fill="FFFFFF"/>
        </w:rPr>
        <w:t xml:space="preserve"> T von, Maier J, </w:t>
      </w:r>
      <w:proofErr w:type="spellStart"/>
      <w:r w:rsidRPr="0065647A">
        <w:rPr>
          <w:rFonts w:asciiTheme="minorHAnsi" w:hAnsiTheme="minorHAnsi" w:cstheme="minorHAnsi"/>
          <w:color w:val="212121"/>
          <w:shd w:val="clear" w:color="auto" w:fill="FFFFFF"/>
        </w:rPr>
        <w:t>Dannecker</w:t>
      </w:r>
      <w:proofErr w:type="spellEnd"/>
      <w:r w:rsidRPr="0065647A">
        <w:rPr>
          <w:rFonts w:asciiTheme="minorHAnsi" w:hAnsiTheme="minorHAnsi" w:cstheme="minorHAnsi"/>
          <w:color w:val="212121"/>
          <w:shd w:val="clear" w:color="auto" w:fill="FFFFFF"/>
        </w:rPr>
        <w:t xml:space="preserve"> GE. Spinal involvement in chronic recurrent multifocal osteomyelitis (CRMO) in childhood and effect of pamidronate. </w:t>
      </w:r>
      <w:proofErr w:type="spellStart"/>
      <w:r w:rsidRPr="0065647A">
        <w:rPr>
          <w:rStyle w:val="ref-journal"/>
          <w:rFonts w:asciiTheme="minorHAnsi" w:hAnsiTheme="minorHAnsi" w:cstheme="minorHAnsi"/>
          <w:i/>
          <w:iCs/>
          <w:color w:val="212121"/>
          <w:shd w:val="clear" w:color="auto" w:fill="FFFFFF"/>
        </w:rPr>
        <w:t>Eur</w:t>
      </w:r>
      <w:proofErr w:type="spellEnd"/>
      <w:r w:rsidRPr="0065647A">
        <w:rPr>
          <w:rStyle w:val="ref-journal"/>
          <w:rFonts w:asciiTheme="minorHAnsi" w:hAnsiTheme="minorHAnsi" w:cstheme="minorHAnsi"/>
          <w:i/>
          <w:iCs/>
          <w:color w:val="212121"/>
          <w:shd w:val="clear" w:color="auto" w:fill="FFFFFF"/>
        </w:rPr>
        <w:t xml:space="preserve"> J </w:t>
      </w:r>
      <w:proofErr w:type="spellStart"/>
      <w:r w:rsidRPr="0065647A">
        <w:rPr>
          <w:rStyle w:val="ref-journal"/>
          <w:rFonts w:asciiTheme="minorHAnsi" w:hAnsiTheme="minorHAnsi" w:cstheme="minorHAnsi"/>
          <w:i/>
          <w:iCs/>
          <w:color w:val="212121"/>
          <w:shd w:val="clear" w:color="auto" w:fill="FFFFFF"/>
        </w:rPr>
        <w:t>Pediatr</w:t>
      </w:r>
      <w:proofErr w:type="spellEnd"/>
      <w:r w:rsidRPr="0065647A">
        <w:rPr>
          <w:rStyle w:val="ref-journal"/>
          <w:rFonts w:asciiTheme="minorHAnsi" w:hAnsiTheme="minorHAnsi" w:cstheme="minorHAnsi"/>
          <w:i/>
          <w:iCs/>
          <w:color w:val="212121"/>
          <w:shd w:val="clear" w:color="auto" w:fill="FFFFFF"/>
        </w:rPr>
        <w:t>. </w:t>
      </w:r>
      <w:proofErr w:type="gramStart"/>
      <w:r w:rsidRPr="0065647A">
        <w:rPr>
          <w:rFonts w:asciiTheme="minorHAnsi" w:hAnsiTheme="minorHAnsi" w:cstheme="minorHAnsi"/>
          <w:color w:val="212121"/>
          <w:shd w:val="clear" w:color="auto" w:fill="FFFFFF"/>
        </w:rPr>
        <w:t>2010;</w:t>
      </w:r>
      <w:r w:rsidRPr="0065647A">
        <w:rPr>
          <w:rStyle w:val="ref-vol"/>
          <w:rFonts w:asciiTheme="minorHAnsi" w:hAnsiTheme="minorHAnsi" w:cstheme="minorHAnsi"/>
          <w:color w:val="212121"/>
          <w:shd w:val="clear" w:color="auto" w:fill="FFFFFF"/>
        </w:rPr>
        <w:t>169</w:t>
      </w:r>
      <w:r w:rsidRPr="0065647A">
        <w:rPr>
          <w:rFonts w:asciiTheme="minorHAnsi" w:hAnsiTheme="minorHAnsi" w:cstheme="minorHAnsi"/>
          <w:color w:val="212121"/>
          <w:shd w:val="clear" w:color="auto" w:fill="FFFFFF"/>
        </w:rPr>
        <w:t>:1105</w:t>
      </w:r>
      <w:proofErr w:type="gramEnd"/>
      <w:r w:rsidRPr="0065647A">
        <w:rPr>
          <w:rFonts w:asciiTheme="minorHAnsi" w:hAnsiTheme="minorHAnsi" w:cstheme="minorHAnsi"/>
          <w:color w:val="212121"/>
          <w:shd w:val="clear" w:color="auto" w:fill="FFFFFF"/>
        </w:rPr>
        <w:t>–11.</w:t>
      </w:r>
    </w:p>
    <w:p w14:paraId="60E9900C" w14:textId="42E5D5E9" w:rsidR="00411E56" w:rsidRPr="0065647A" w:rsidRDefault="00411E56" w:rsidP="0065647A">
      <w:pPr>
        <w:pStyle w:val="ListParagraph"/>
        <w:numPr>
          <w:ilvl w:val="0"/>
          <w:numId w:val="30"/>
        </w:numPr>
        <w:jc w:val="both"/>
        <w:rPr>
          <w:rFonts w:asciiTheme="minorHAnsi" w:hAnsiTheme="minorHAnsi" w:cstheme="minorHAnsi"/>
          <w:b/>
          <w:color w:val="00A2E5"/>
        </w:rPr>
      </w:pPr>
      <w:r w:rsidRPr="0065647A">
        <w:rPr>
          <w:rFonts w:asciiTheme="minorHAnsi" w:hAnsiTheme="minorHAnsi" w:cstheme="minorHAnsi"/>
          <w:color w:val="212121"/>
          <w:shd w:val="clear" w:color="auto" w:fill="FFFFFF"/>
        </w:rPr>
        <w:t>Roderick M, Shah R, Finn A, Ramanan AV. Efficacy of pamidronate therapy in children with chronic non-bacterial osteitis: disease activity assessment by whole body magnetic resonance imaging. </w:t>
      </w:r>
      <w:r w:rsidRPr="0065647A">
        <w:rPr>
          <w:rStyle w:val="ref-journal"/>
          <w:rFonts w:asciiTheme="minorHAnsi" w:hAnsiTheme="minorHAnsi" w:cstheme="minorHAnsi"/>
          <w:i/>
          <w:iCs/>
          <w:color w:val="212121"/>
          <w:shd w:val="clear" w:color="auto" w:fill="FFFFFF"/>
        </w:rPr>
        <w:t>Rheumatology (Oxford) </w:t>
      </w:r>
      <w:proofErr w:type="gramStart"/>
      <w:r w:rsidRPr="0065647A">
        <w:rPr>
          <w:rFonts w:asciiTheme="minorHAnsi" w:hAnsiTheme="minorHAnsi" w:cstheme="minorHAnsi"/>
          <w:color w:val="212121"/>
          <w:shd w:val="clear" w:color="auto" w:fill="FFFFFF"/>
        </w:rPr>
        <w:t>2014;</w:t>
      </w:r>
      <w:r w:rsidRPr="0065647A">
        <w:rPr>
          <w:rStyle w:val="ref-vol"/>
          <w:rFonts w:asciiTheme="minorHAnsi" w:hAnsiTheme="minorHAnsi" w:cstheme="minorHAnsi"/>
          <w:color w:val="212121"/>
          <w:shd w:val="clear" w:color="auto" w:fill="FFFFFF"/>
        </w:rPr>
        <w:t>53</w:t>
      </w:r>
      <w:r w:rsidRPr="0065647A">
        <w:rPr>
          <w:rFonts w:asciiTheme="minorHAnsi" w:hAnsiTheme="minorHAnsi" w:cstheme="minorHAnsi"/>
          <w:color w:val="212121"/>
          <w:shd w:val="clear" w:color="auto" w:fill="FFFFFF"/>
        </w:rPr>
        <w:t>:1973</w:t>
      </w:r>
      <w:proofErr w:type="gramEnd"/>
      <w:r w:rsidRPr="0065647A">
        <w:rPr>
          <w:rFonts w:asciiTheme="minorHAnsi" w:hAnsiTheme="minorHAnsi" w:cstheme="minorHAnsi"/>
          <w:color w:val="212121"/>
          <w:shd w:val="clear" w:color="auto" w:fill="FFFFFF"/>
        </w:rPr>
        <w:t>–6.</w:t>
      </w:r>
    </w:p>
    <w:p w14:paraId="064C29C2" w14:textId="318A5566" w:rsidR="00411E56" w:rsidRPr="0065647A" w:rsidRDefault="00411E56" w:rsidP="0065647A">
      <w:pPr>
        <w:pStyle w:val="ListParagraph"/>
        <w:numPr>
          <w:ilvl w:val="0"/>
          <w:numId w:val="30"/>
        </w:numPr>
        <w:jc w:val="both"/>
        <w:rPr>
          <w:rFonts w:asciiTheme="minorHAnsi" w:hAnsiTheme="minorHAnsi" w:cstheme="minorHAnsi"/>
          <w:b/>
          <w:color w:val="00A2E5"/>
        </w:rPr>
      </w:pPr>
      <w:r w:rsidRPr="0065647A">
        <w:rPr>
          <w:rFonts w:asciiTheme="minorHAnsi" w:hAnsiTheme="minorHAnsi" w:cstheme="minorHAnsi"/>
          <w:color w:val="212121"/>
          <w:shd w:val="clear" w:color="auto" w:fill="FFFFFF"/>
        </w:rPr>
        <w:t xml:space="preserve">Schnabel A, Range U, Hahn G, Berner R, </w:t>
      </w:r>
      <w:proofErr w:type="spellStart"/>
      <w:r w:rsidRPr="0065647A">
        <w:rPr>
          <w:rFonts w:asciiTheme="minorHAnsi" w:hAnsiTheme="minorHAnsi" w:cstheme="minorHAnsi"/>
          <w:color w:val="212121"/>
          <w:shd w:val="clear" w:color="auto" w:fill="FFFFFF"/>
        </w:rPr>
        <w:t>Hedrich</w:t>
      </w:r>
      <w:proofErr w:type="spellEnd"/>
      <w:r w:rsidRPr="0065647A">
        <w:rPr>
          <w:rFonts w:asciiTheme="minorHAnsi" w:hAnsiTheme="minorHAnsi" w:cstheme="minorHAnsi"/>
          <w:color w:val="212121"/>
          <w:shd w:val="clear" w:color="auto" w:fill="FFFFFF"/>
        </w:rPr>
        <w:t xml:space="preserve"> CM. Treatment Response and </w:t>
      </w:r>
      <w:proofErr w:type="spellStart"/>
      <w:r w:rsidRPr="0065647A">
        <w:rPr>
          <w:rFonts w:asciiTheme="minorHAnsi" w:hAnsiTheme="minorHAnsi" w:cstheme="minorHAnsi"/>
          <w:color w:val="212121"/>
          <w:shd w:val="clear" w:color="auto" w:fill="FFFFFF"/>
        </w:rPr>
        <w:t>Longterm</w:t>
      </w:r>
      <w:proofErr w:type="spellEnd"/>
      <w:r w:rsidRPr="0065647A">
        <w:rPr>
          <w:rFonts w:asciiTheme="minorHAnsi" w:hAnsiTheme="minorHAnsi" w:cstheme="minorHAnsi"/>
          <w:color w:val="212121"/>
          <w:shd w:val="clear" w:color="auto" w:fill="FFFFFF"/>
        </w:rPr>
        <w:t xml:space="preserve"> Outcomes in Children with Chronic Nonbacterial Osteomyelitis. </w:t>
      </w:r>
      <w:r w:rsidRPr="0065647A">
        <w:rPr>
          <w:rStyle w:val="ref-journal"/>
          <w:rFonts w:asciiTheme="minorHAnsi" w:hAnsiTheme="minorHAnsi" w:cstheme="minorHAnsi"/>
          <w:i/>
          <w:iCs/>
          <w:color w:val="212121"/>
          <w:shd w:val="clear" w:color="auto" w:fill="FFFFFF"/>
        </w:rPr>
        <w:t xml:space="preserve">J </w:t>
      </w:r>
      <w:proofErr w:type="spellStart"/>
      <w:r w:rsidRPr="0065647A">
        <w:rPr>
          <w:rStyle w:val="ref-journal"/>
          <w:rFonts w:asciiTheme="minorHAnsi" w:hAnsiTheme="minorHAnsi" w:cstheme="minorHAnsi"/>
          <w:i/>
          <w:iCs/>
          <w:color w:val="212121"/>
          <w:shd w:val="clear" w:color="auto" w:fill="FFFFFF"/>
        </w:rPr>
        <w:t>Rheumatol</w:t>
      </w:r>
      <w:proofErr w:type="spellEnd"/>
      <w:r w:rsidRPr="0065647A">
        <w:rPr>
          <w:rStyle w:val="ref-journal"/>
          <w:rFonts w:asciiTheme="minorHAnsi" w:hAnsiTheme="minorHAnsi" w:cstheme="minorHAnsi"/>
          <w:i/>
          <w:iCs/>
          <w:color w:val="212121"/>
          <w:shd w:val="clear" w:color="auto" w:fill="FFFFFF"/>
        </w:rPr>
        <w:t>. </w:t>
      </w:r>
      <w:r w:rsidRPr="0065647A">
        <w:rPr>
          <w:rFonts w:asciiTheme="minorHAnsi" w:hAnsiTheme="minorHAnsi" w:cstheme="minorHAnsi"/>
          <w:color w:val="212121"/>
          <w:shd w:val="clear" w:color="auto" w:fill="FFFFFF"/>
        </w:rPr>
        <w:t>2017 jrheum.161255. </w:t>
      </w:r>
    </w:p>
    <w:sectPr w:rsidR="00411E56" w:rsidRPr="0065647A" w:rsidSect="00EE4195">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B5B77" w14:textId="77777777" w:rsidR="00EC1D66" w:rsidRDefault="00EC1D66" w:rsidP="00B61AD9">
      <w:pPr>
        <w:spacing w:after="0" w:line="240" w:lineRule="auto"/>
      </w:pPr>
      <w:r>
        <w:separator/>
      </w:r>
    </w:p>
  </w:endnote>
  <w:endnote w:type="continuationSeparator" w:id="0">
    <w:p w14:paraId="49971EA4" w14:textId="77777777" w:rsidR="00EC1D66" w:rsidRDefault="00EC1D66" w:rsidP="00B61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6E5CA" w14:textId="77777777" w:rsidR="00EC1D66" w:rsidRDefault="00EC1D66" w:rsidP="00B61AD9">
      <w:pPr>
        <w:spacing w:after="0" w:line="240" w:lineRule="auto"/>
      </w:pPr>
      <w:r>
        <w:separator/>
      </w:r>
    </w:p>
  </w:footnote>
  <w:footnote w:type="continuationSeparator" w:id="0">
    <w:p w14:paraId="198F049C" w14:textId="77777777" w:rsidR="00EC1D66" w:rsidRDefault="00EC1D66" w:rsidP="00B61A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5F7EF" w14:textId="77777777" w:rsidR="000C4A06" w:rsidRDefault="000C4A06">
    <w:pPr>
      <w:pStyle w:val="Header"/>
    </w:pPr>
    <w:r w:rsidRPr="00AA0C8F">
      <w:rPr>
        <w:noProof/>
        <w:lang w:eastAsia="en-GB"/>
      </w:rPr>
      <w:drawing>
        <wp:anchor distT="0" distB="0" distL="114300" distR="114300" simplePos="0" relativeHeight="251659264" behindDoc="0" locked="0" layoutInCell="1" allowOverlap="1" wp14:anchorId="3B0DFE22" wp14:editId="22DB3C50">
          <wp:simplePos x="0" y="0"/>
          <wp:positionH relativeFrom="margin">
            <wp:posOffset>-930910</wp:posOffset>
          </wp:positionH>
          <wp:positionV relativeFrom="margin">
            <wp:posOffset>-925830</wp:posOffset>
          </wp:positionV>
          <wp:extent cx="5716270" cy="593725"/>
          <wp:effectExtent l="19050" t="0" r="0" b="0"/>
          <wp:wrapSquare wrapText="bothSides"/>
          <wp:docPr id="4" name="Picture 3" descr="C:\Users\paolil01\Desktop\Email Template  Shared Services\caring hand-03.jpg"/>
          <wp:cNvGraphicFramePr/>
          <a:graphic xmlns:a="http://schemas.openxmlformats.org/drawingml/2006/main">
            <a:graphicData uri="http://schemas.openxmlformats.org/drawingml/2006/picture">
              <pic:pic xmlns:pic="http://schemas.openxmlformats.org/drawingml/2006/picture">
                <pic:nvPicPr>
                  <pic:cNvPr id="2051" name="Picture 3" descr="C:\Users\paolil01\Desktop\Email Template  Shared Services\caring hand-03.jpg"/>
                  <pic:cNvPicPr>
                    <a:picLocks noChangeAspect="1" noChangeArrowheads="1"/>
                  </pic:cNvPicPr>
                </pic:nvPicPr>
                <pic:blipFill>
                  <a:blip r:embed="rId1" cstate="print"/>
                  <a:srcRect l="15193" t="54132" r="198" b="26590"/>
                  <a:stretch>
                    <a:fillRect/>
                  </a:stretch>
                </pic:blipFill>
                <pic:spPr bwMode="auto">
                  <a:xfrm>
                    <a:off x="0" y="0"/>
                    <a:ext cx="5716270" cy="593725"/>
                  </a:xfrm>
                  <a:prstGeom prst="rect">
                    <a:avLst/>
                  </a:prstGeom>
                  <a:noFill/>
                </pic:spPr>
              </pic:pic>
            </a:graphicData>
          </a:graphic>
        </wp:anchor>
      </w:drawing>
    </w:r>
    <w:r>
      <w:rPr>
        <w:noProof/>
        <w:lang w:eastAsia="en-GB"/>
      </w:rPr>
      <w:drawing>
        <wp:anchor distT="0" distB="0" distL="114300" distR="114300" simplePos="0" relativeHeight="251658240" behindDoc="1" locked="0" layoutInCell="1" allowOverlap="1" wp14:anchorId="4FA59A5C" wp14:editId="1F1F9856">
          <wp:simplePos x="0" y="0"/>
          <wp:positionH relativeFrom="column">
            <wp:posOffset>5244193</wp:posOffset>
          </wp:positionH>
          <wp:positionV relativeFrom="paragraph">
            <wp:posOffset>-57694</wp:posOffset>
          </wp:positionV>
          <wp:extent cx="1054619" cy="700644"/>
          <wp:effectExtent l="19050" t="0" r="0" b="0"/>
          <wp:wrapNone/>
          <wp:docPr id="8" name="Picture 5" descr="G--Physical Activity-PAHA-PAHAe_News&amp;Alerts-eNewsletters-2013-Logos-NHS SCOTLAND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hysical Activity-PAHA-PAHAe_News&amp;Alerts-eNewsletters-2013-Logos-NHS SCOTLAND RGB.jpg"/>
                  <pic:cNvPicPr/>
                </pic:nvPicPr>
                <pic:blipFill>
                  <a:blip r:embed="rId2"/>
                  <a:stretch>
                    <a:fillRect/>
                  </a:stretch>
                </pic:blipFill>
                <pic:spPr>
                  <a:xfrm>
                    <a:off x="0" y="0"/>
                    <a:ext cx="1054619" cy="700644"/>
                  </a:xfrm>
                  <a:prstGeom prst="rect">
                    <a:avLst/>
                  </a:prstGeom>
                </pic:spPr>
              </pic:pic>
            </a:graphicData>
          </a:graphic>
        </wp:anchor>
      </w:drawing>
    </w:r>
  </w:p>
  <w:p w14:paraId="2C55764D" w14:textId="77777777" w:rsidR="000C4A06" w:rsidRDefault="000C4A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B1D20"/>
    <w:multiLevelType w:val="hybridMultilevel"/>
    <w:tmpl w:val="188AA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66876"/>
    <w:multiLevelType w:val="hybridMultilevel"/>
    <w:tmpl w:val="35A458E4"/>
    <w:lvl w:ilvl="0" w:tplc="FFFCF9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7114613"/>
    <w:multiLevelType w:val="hybridMultilevel"/>
    <w:tmpl w:val="FF1E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72BB6"/>
    <w:multiLevelType w:val="hybridMultilevel"/>
    <w:tmpl w:val="5C7EB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BA4386"/>
    <w:multiLevelType w:val="hybridMultilevel"/>
    <w:tmpl w:val="437A21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DA0662"/>
    <w:multiLevelType w:val="hybridMultilevel"/>
    <w:tmpl w:val="7EAC2F1A"/>
    <w:lvl w:ilvl="0" w:tplc="C1461002">
      <w:numFmt w:val="decimal"/>
      <w:lvlText w:val="%1."/>
      <w:lvlJc w:val="left"/>
      <w:pPr>
        <w:ind w:left="720" w:hanging="360"/>
      </w:pPr>
      <w:rPr>
        <w:rFonts w:eastAsia="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E04AC1"/>
    <w:multiLevelType w:val="hybridMultilevel"/>
    <w:tmpl w:val="1BF25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41E02"/>
    <w:multiLevelType w:val="hybridMultilevel"/>
    <w:tmpl w:val="B9DCA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055A45"/>
    <w:multiLevelType w:val="hybridMultilevel"/>
    <w:tmpl w:val="72BC065C"/>
    <w:lvl w:ilvl="0" w:tplc="078603AC">
      <w:start w:val="10"/>
      <w:numFmt w:val="decimal"/>
      <w:lvlText w:val="%1."/>
      <w:lvlJc w:val="left"/>
      <w:pPr>
        <w:ind w:left="720" w:hanging="360"/>
      </w:pPr>
      <w:rPr>
        <w:rFonts w:ascii="Cambria" w:hAnsi="Cambria" w:cstheme="minorBidi" w:hint="default"/>
        <w:b w:val="0"/>
        <w:color w:val="212121"/>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5C38A0"/>
    <w:multiLevelType w:val="hybridMultilevel"/>
    <w:tmpl w:val="09A8B7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363D21"/>
    <w:multiLevelType w:val="hybridMultilevel"/>
    <w:tmpl w:val="AB5211D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570A16"/>
    <w:multiLevelType w:val="hybridMultilevel"/>
    <w:tmpl w:val="145EA4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10402D"/>
    <w:multiLevelType w:val="hybridMultilevel"/>
    <w:tmpl w:val="9C501D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460481"/>
    <w:multiLevelType w:val="hybridMultilevel"/>
    <w:tmpl w:val="CF4C448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913AD3"/>
    <w:multiLevelType w:val="hybridMultilevel"/>
    <w:tmpl w:val="C0BEBF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213C4"/>
    <w:multiLevelType w:val="hybridMultilevel"/>
    <w:tmpl w:val="FA843C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4100574"/>
    <w:multiLevelType w:val="hybridMultilevel"/>
    <w:tmpl w:val="BD7A6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CD1B65"/>
    <w:multiLevelType w:val="hybridMultilevel"/>
    <w:tmpl w:val="5FE41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1E55A2"/>
    <w:multiLevelType w:val="hybridMultilevel"/>
    <w:tmpl w:val="E5F45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3747E1"/>
    <w:multiLevelType w:val="hybridMultilevel"/>
    <w:tmpl w:val="9C78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A42934"/>
    <w:multiLevelType w:val="multilevel"/>
    <w:tmpl w:val="ED9E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945565"/>
    <w:multiLevelType w:val="hybridMultilevel"/>
    <w:tmpl w:val="C562E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BF604B"/>
    <w:multiLevelType w:val="hybridMultilevel"/>
    <w:tmpl w:val="EDBCD6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E00379"/>
    <w:multiLevelType w:val="hybridMultilevel"/>
    <w:tmpl w:val="9B2EC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8F57B8"/>
    <w:multiLevelType w:val="hybridMultilevel"/>
    <w:tmpl w:val="6DEC6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7A31BA"/>
    <w:multiLevelType w:val="hybridMultilevel"/>
    <w:tmpl w:val="7944B556"/>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92691B"/>
    <w:multiLevelType w:val="multilevel"/>
    <w:tmpl w:val="F4D4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0F16C0"/>
    <w:multiLevelType w:val="hybridMultilevel"/>
    <w:tmpl w:val="B3541D8A"/>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364" w:hanging="360"/>
      </w:pPr>
      <w:rPr>
        <w:rFonts w:ascii="Wingdings" w:hAnsi="Wingdings" w:hint="default"/>
      </w:rPr>
    </w:lvl>
    <w:lvl w:ilvl="3" w:tplc="08090001" w:tentative="1">
      <w:start w:val="1"/>
      <w:numFmt w:val="bullet"/>
      <w:lvlText w:val=""/>
      <w:lvlJc w:val="left"/>
      <w:pPr>
        <w:ind w:left="2084" w:hanging="360"/>
      </w:pPr>
      <w:rPr>
        <w:rFonts w:ascii="Symbol" w:hAnsi="Symbol" w:hint="default"/>
      </w:rPr>
    </w:lvl>
    <w:lvl w:ilvl="4" w:tplc="08090003" w:tentative="1">
      <w:start w:val="1"/>
      <w:numFmt w:val="bullet"/>
      <w:lvlText w:val="o"/>
      <w:lvlJc w:val="left"/>
      <w:pPr>
        <w:ind w:left="2804" w:hanging="360"/>
      </w:pPr>
      <w:rPr>
        <w:rFonts w:ascii="Courier New" w:hAnsi="Courier New" w:cs="Courier New" w:hint="default"/>
      </w:rPr>
    </w:lvl>
    <w:lvl w:ilvl="5" w:tplc="08090005" w:tentative="1">
      <w:start w:val="1"/>
      <w:numFmt w:val="bullet"/>
      <w:lvlText w:val=""/>
      <w:lvlJc w:val="left"/>
      <w:pPr>
        <w:ind w:left="3524" w:hanging="360"/>
      </w:pPr>
      <w:rPr>
        <w:rFonts w:ascii="Wingdings" w:hAnsi="Wingdings" w:hint="default"/>
      </w:rPr>
    </w:lvl>
    <w:lvl w:ilvl="6" w:tplc="08090001" w:tentative="1">
      <w:start w:val="1"/>
      <w:numFmt w:val="bullet"/>
      <w:lvlText w:val=""/>
      <w:lvlJc w:val="left"/>
      <w:pPr>
        <w:ind w:left="4244" w:hanging="360"/>
      </w:pPr>
      <w:rPr>
        <w:rFonts w:ascii="Symbol" w:hAnsi="Symbol" w:hint="default"/>
      </w:rPr>
    </w:lvl>
    <w:lvl w:ilvl="7" w:tplc="08090003" w:tentative="1">
      <w:start w:val="1"/>
      <w:numFmt w:val="bullet"/>
      <w:lvlText w:val="o"/>
      <w:lvlJc w:val="left"/>
      <w:pPr>
        <w:ind w:left="4964" w:hanging="360"/>
      </w:pPr>
      <w:rPr>
        <w:rFonts w:ascii="Courier New" w:hAnsi="Courier New" w:cs="Courier New" w:hint="default"/>
      </w:rPr>
    </w:lvl>
    <w:lvl w:ilvl="8" w:tplc="08090005" w:tentative="1">
      <w:start w:val="1"/>
      <w:numFmt w:val="bullet"/>
      <w:lvlText w:val=""/>
      <w:lvlJc w:val="left"/>
      <w:pPr>
        <w:ind w:left="5684" w:hanging="360"/>
      </w:pPr>
      <w:rPr>
        <w:rFonts w:ascii="Wingdings" w:hAnsi="Wingdings" w:hint="default"/>
      </w:rPr>
    </w:lvl>
  </w:abstractNum>
  <w:abstractNum w:abstractNumId="28" w15:restartNumberingAfterBreak="0">
    <w:nsid w:val="6CFE20FC"/>
    <w:multiLevelType w:val="hybridMultilevel"/>
    <w:tmpl w:val="2F2E50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1E3E5C"/>
    <w:multiLevelType w:val="hybridMultilevel"/>
    <w:tmpl w:val="952A06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68243337">
    <w:abstractNumId w:val="28"/>
  </w:num>
  <w:num w:numId="2" w16cid:durableId="1807429186">
    <w:abstractNumId w:val="3"/>
  </w:num>
  <w:num w:numId="3" w16cid:durableId="493302682">
    <w:abstractNumId w:val="25"/>
  </w:num>
  <w:num w:numId="4" w16cid:durableId="50691588">
    <w:abstractNumId w:val="29"/>
  </w:num>
  <w:num w:numId="5" w16cid:durableId="1354766871">
    <w:abstractNumId w:val="21"/>
  </w:num>
  <w:num w:numId="6" w16cid:durableId="1506898723">
    <w:abstractNumId w:val="4"/>
  </w:num>
  <w:num w:numId="7" w16cid:durableId="949356580">
    <w:abstractNumId w:val="13"/>
  </w:num>
  <w:num w:numId="8" w16cid:durableId="642124903">
    <w:abstractNumId w:val="27"/>
  </w:num>
  <w:num w:numId="9" w16cid:durableId="1923681457">
    <w:abstractNumId w:val="10"/>
  </w:num>
  <w:num w:numId="10" w16cid:durableId="1081177384">
    <w:abstractNumId w:val="22"/>
  </w:num>
  <w:num w:numId="11" w16cid:durableId="891574572">
    <w:abstractNumId w:val="16"/>
  </w:num>
  <w:num w:numId="12" w16cid:durableId="637683820">
    <w:abstractNumId w:val="23"/>
  </w:num>
  <w:num w:numId="13" w16cid:durableId="2133208740">
    <w:abstractNumId w:val="24"/>
  </w:num>
  <w:num w:numId="14" w16cid:durableId="1472401694">
    <w:abstractNumId w:val="9"/>
  </w:num>
  <w:num w:numId="15" w16cid:durableId="1350451819">
    <w:abstractNumId w:val="12"/>
  </w:num>
  <w:num w:numId="16" w16cid:durableId="1670522461">
    <w:abstractNumId w:val="6"/>
  </w:num>
  <w:num w:numId="17" w16cid:durableId="2061516474">
    <w:abstractNumId w:val="18"/>
  </w:num>
  <w:num w:numId="18" w16cid:durableId="2007779350">
    <w:abstractNumId w:val="7"/>
  </w:num>
  <w:num w:numId="19" w16cid:durableId="371536378">
    <w:abstractNumId w:val="17"/>
  </w:num>
  <w:num w:numId="20" w16cid:durableId="929394524">
    <w:abstractNumId w:val="2"/>
  </w:num>
  <w:num w:numId="21" w16cid:durableId="2111192933">
    <w:abstractNumId w:val="19"/>
  </w:num>
  <w:num w:numId="22" w16cid:durableId="1920287268">
    <w:abstractNumId w:val="0"/>
  </w:num>
  <w:num w:numId="23" w16cid:durableId="821703080">
    <w:abstractNumId w:val="1"/>
  </w:num>
  <w:num w:numId="24" w16cid:durableId="181365158">
    <w:abstractNumId w:val="15"/>
  </w:num>
  <w:num w:numId="25" w16cid:durableId="1704136573">
    <w:abstractNumId w:val="11"/>
  </w:num>
  <w:num w:numId="26" w16cid:durableId="2039815330">
    <w:abstractNumId w:val="14"/>
  </w:num>
  <w:num w:numId="27" w16cid:durableId="1551921268">
    <w:abstractNumId w:val="20"/>
  </w:num>
  <w:num w:numId="28" w16cid:durableId="2035766790">
    <w:abstractNumId w:val="5"/>
  </w:num>
  <w:num w:numId="29" w16cid:durableId="632292280">
    <w:abstractNumId w:val="26"/>
  </w:num>
  <w:num w:numId="30" w16cid:durableId="17931362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colormru v:ext="edit" colors="#004785,#00a2e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826"/>
    <w:rsid w:val="00036824"/>
    <w:rsid w:val="0005672E"/>
    <w:rsid w:val="000B0587"/>
    <w:rsid w:val="000C4A06"/>
    <w:rsid w:val="000D009F"/>
    <w:rsid w:val="000D11E6"/>
    <w:rsid w:val="000E7E50"/>
    <w:rsid w:val="00150371"/>
    <w:rsid w:val="001575C8"/>
    <w:rsid w:val="00162C2C"/>
    <w:rsid w:val="00177447"/>
    <w:rsid w:val="001C3967"/>
    <w:rsid w:val="001F6C59"/>
    <w:rsid w:val="00234DCE"/>
    <w:rsid w:val="0023787D"/>
    <w:rsid w:val="00301D76"/>
    <w:rsid w:val="0031432B"/>
    <w:rsid w:val="003519F4"/>
    <w:rsid w:val="00361A8C"/>
    <w:rsid w:val="003732AA"/>
    <w:rsid w:val="003819F5"/>
    <w:rsid w:val="00411E56"/>
    <w:rsid w:val="00457071"/>
    <w:rsid w:val="004A4F18"/>
    <w:rsid w:val="004B05C7"/>
    <w:rsid w:val="005021F8"/>
    <w:rsid w:val="0051373D"/>
    <w:rsid w:val="00516AA5"/>
    <w:rsid w:val="005526F3"/>
    <w:rsid w:val="00563107"/>
    <w:rsid w:val="005C3338"/>
    <w:rsid w:val="005D2CC6"/>
    <w:rsid w:val="005D6FFC"/>
    <w:rsid w:val="00617D31"/>
    <w:rsid w:val="00634E88"/>
    <w:rsid w:val="0065647A"/>
    <w:rsid w:val="0066453A"/>
    <w:rsid w:val="00681BCD"/>
    <w:rsid w:val="00692DD8"/>
    <w:rsid w:val="006F199D"/>
    <w:rsid w:val="0071663C"/>
    <w:rsid w:val="00776059"/>
    <w:rsid w:val="007A5C8E"/>
    <w:rsid w:val="007D3C96"/>
    <w:rsid w:val="007F5463"/>
    <w:rsid w:val="008304E3"/>
    <w:rsid w:val="00850CA3"/>
    <w:rsid w:val="00874565"/>
    <w:rsid w:val="00882826"/>
    <w:rsid w:val="008858B9"/>
    <w:rsid w:val="008D5568"/>
    <w:rsid w:val="008D78BB"/>
    <w:rsid w:val="008F0E32"/>
    <w:rsid w:val="00970490"/>
    <w:rsid w:val="009E5E40"/>
    <w:rsid w:val="009F7FAA"/>
    <w:rsid w:val="00A503BC"/>
    <w:rsid w:val="00A71581"/>
    <w:rsid w:val="00AA0C8F"/>
    <w:rsid w:val="00AC0BE0"/>
    <w:rsid w:val="00AD171D"/>
    <w:rsid w:val="00B05291"/>
    <w:rsid w:val="00B06865"/>
    <w:rsid w:val="00B61AD9"/>
    <w:rsid w:val="00B732C5"/>
    <w:rsid w:val="00BE50EE"/>
    <w:rsid w:val="00C10D8B"/>
    <w:rsid w:val="00C41FA0"/>
    <w:rsid w:val="00C521F5"/>
    <w:rsid w:val="00CC1230"/>
    <w:rsid w:val="00D00143"/>
    <w:rsid w:val="00D440A1"/>
    <w:rsid w:val="00D74871"/>
    <w:rsid w:val="00D814BB"/>
    <w:rsid w:val="00D82515"/>
    <w:rsid w:val="00E760F3"/>
    <w:rsid w:val="00EC1D66"/>
    <w:rsid w:val="00EE2B12"/>
    <w:rsid w:val="00EE4195"/>
    <w:rsid w:val="00F16BAA"/>
    <w:rsid w:val="00F4284A"/>
    <w:rsid w:val="00F53303"/>
    <w:rsid w:val="00F6382D"/>
    <w:rsid w:val="00F7458D"/>
    <w:rsid w:val="00FC5032"/>
    <w:rsid w:val="00FE1D59"/>
    <w:rsid w:val="00FF5D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4785,#00a2e5"/>
    </o:shapedefaults>
    <o:shapelayout v:ext="edit">
      <o:idmap v:ext="edit" data="2"/>
    </o:shapelayout>
  </w:shapeDefaults>
  <w:decimalSymbol w:val="."/>
  <w:listSeparator w:val=","/>
  <w14:docId w14:val="15A7B097"/>
  <w15:docId w15:val="{6B41305C-7F02-4C62-A024-F42DB0A4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371"/>
  </w:style>
  <w:style w:type="paragraph" w:styleId="Heading1">
    <w:name w:val="heading 1"/>
    <w:basedOn w:val="Normal"/>
    <w:next w:val="Normal"/>
    <w:link w:val="Heading1Char"/>
    <w:qFormat/>
    <w:rsid w:val="00D00143"/>
    <w:pPr>
      <w:keepNext/>
      <w:spacing w:after="0" w:line="240" w:lineRule="auto"/>
      <w:outlineLvl w:val="0"/>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A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AD9"/>
  </w:style>
  <w:style w:type="paragraph" w:styleId="Footer">
    <w:name w:val="footer"/>
    <w:basedOn w:val="Normal"/>
    <w:link w:val="FooterChar"/>
    <w:uiPriority w:val="99"/>
    <w:unhideWhenUsed/>
    <w:rsid w:val="00B61A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AD9"/>
  </w:style>
  <w:style w:type="paragraph" w:styleId="BalloonText">
    <w:name w:val="Balloon Text"/>
    <w:basedOn w:val="Normal"/>
    <w:link w:val="BalloonTextChar"/>
    <w:uiPriority w:val="99"/>
    <w:semiHidden/>
    <w:unhideWhenUsed/>
    <w:rsid w:val="00AA0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C8F"/>
    <w:rPr>
      <w:rFonts w:ascii="Tahoma" w:hAnsi="Tahoma" w:cs="Tahoma"/>
      <w:sz w:val="16"/>
      <w:szCs w:val="16"/>
    </w:rPr>
  </w:style>
  <w:style w:type="character" w:customStyle="1" w:styleId="Heading1Char">
    <w:name w:val="Heading 1 Char"/>
    <w:basedOn w:val="DefaultParagraphFont"/>
    <w:link w:val="Heading1"/>
    <w:rsid w:val="00D00143"/>
    <w:rPr>
      <w:rFonts w:ascii="Arial" w:eastAsia="Times New Roman" w:hAnsi="Arial" w:cs="Arial"/>
      <w:b/>
      <w:bCs/>
      <w:sz w:val="24"/>
      <w:szCs w:val="24"/>
      <w:u w:val="single"/>
    </w:rPr>
  </w:style>
  <w:style w:type="paragraph" w:styleId="BodyText2">
    <w:name w:val="Body Text 2"/>
    <w:basedOn w:val="Normal"/>
    <w:link w:val="BodyText2Char"/>
    <w:rsid w:val="00D00143"/>
    <w:pPr>
      <w:spacing w:after="0" w:line="240" w:lineRule="auto"/>
    </w:pPr>
    <w:rPr>
      <w:rFonts w:ascii="Arial" w:eastAsia="Times New Roman" w:hAnsi="Arial" w:cs="Arial"/>
      <w:b/>
      <w:bCs/>
      <w:sz w:val="24"/>
      <w:szCs w:val="24"/>
      <w:u w:val="single"/>
    </w:rPr>
  </w:style>
  <w:style w:type="character" w:customStyle="1" w:styleId="BodyText2Char">
    <w:name w:val="Body Text 2 Char"/>
    <w:basedOn w:val="DefaultParagraphFont"/>
    <w:link w:val="BodyText2"/>
    <w:rsid w:val="00D00143"/>
    <w:rPr>
      <w:rFonts w:ascii="Arial" w:eastAsia="Times New Roman" w:hAnsi="Arial" w:cs="Arial"/>
      <w:b/>
      <w:bCs/>
      <w:sz w:val="24"/>
      <w:szCs w:val="24"/>
      <w:u w:val="single"/>
    </w:rPr>
  </w:style>
  <w:style w:type="character" w:styleId="Hyperlink">
    <w:name w:val="Hyperlink"/>
    <w:basedOn w:val="DefaultParagraphFont"/>
    <w:uiPriority w:val="99"/>
    <w:rsid w:val="00D00143"/>
    <w:rPr>
      <w:color w:val="0000FF" w:themeColor="hyperlink"/>
      <w:u w:val="single"/>
    </w:rPr>
  </w:style>
  <w:style w:type="paragraph" w:styleId="ListParagraph">
    <w:name w:val="List Paragraph"/>
    <w:basedOn w:val="Normal"/>
    <w:link w:val="ListParagraphChar"/>
    <w:uiPriority w:val="34"/>
    <w:qFormat/>
    <w:rsid w:val="00D00143"/>
    <w:pPr>
      <w:spacing w:after="0" w:line="240" w:lineRule="auto"/>
      <w:ind w:left="720"/>
      <w:contextualSpacing/>
    </w:pPr>
    <w:rPr>
      <w:rFonts w:ascii="Times New Roman" w:eastAsia="Times New Roman" w:hAnsi="Times New Roman" w:cs="Times New Roman"/>
      <w:sz w:val="24"/>
      <w:szCs w:val="24"/>
    </w:rPr>
  </w:style>
  <w:style w:type="paragraph" w:customStyle="1" w:styleId="xmsonormal">
    <w:name w:val="x_msonormal"/>
    <w:basedOn w:val="Normal"/>
    <w:rsid w:val="00D00143"/>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00143"/>
    <w:rPr>
      <w:color w:val="800080" w:themeColor="followedHyperlink"/>
      <w:u w:val="single"/>
    </w:rPr>
  </w:style>
  <w:style w:type="character" w:customStyle="1" w:styleId="ListParagraphChar">
    <w:name w:val="List Paragraph Char"/>
    <w:basedOn w:val="DefaultParagraphFont"/>
    <w:link w:val="ListParagraph"/>
    <w:uiPriority w:val="34"/>
    <w:rsid w:val="000D11E6"/>
    <w:rPr>
      <w:rFonts w:ascii="Times New Roman" w:eastAsia="Times New Roman" w:hAnsi="Times New Roman" w:cs="Times New Roman"/>
      <w:sz w:val="24"/>
      <w:szCs w:val="24"/>
    </w:rPr>
  </w:style>
  <w:style w:type="paragraph" w:customStyle="1" w:styleId="NormalArial">
    <w:name w:val="Normal + Arial"/>
    <w:aliases w:val="11 pt,Italic"/>
    <w:basedOn w:val="Normal"/>
    <w:link w:val="NormalArialChar"/>
    <w:uiPriority w:val="99"/>
    <w:rsid w:val="00D440A1"/>
    <w:pPr>
      <w:autoSpaceDE w:val="0"/>
      <w:autoSpaceDN w:val="0"/>
      <w:adjustRightInd w:val="0"/>
      <w:spacing w:after="0" w:line="240" w:lineRule="auto"/>
    </w:pPr>
    <w:rPr>
      <w:rFonts w:ascii="Arial" w:eastAsia="Times New Roman" w:hAnsi="Arial" w:cs="Arial"/>
    </w:rPr>
  </w:style>
  <w:style w:type="character" w:customStyle="1" w:styleId="NormalArialChar">
    <w:name w:val="Normal + Arial Char"/>
    <w:aliases w:val="11 pt Char,Italic Char Char"/>
    <w:basedOn w:val="DefaultParagraphFont"/>
    <w:link w:val="NormalArial"/>
    <w:uiPriority w:val="99"/>
    <w:locked/>
    <w:rsid w:val="00D440A1"/>
    <w:rPr>
      <w:rFonts w:ascii="Arial" w:eastAsia="Times New Roman" w:hAnsi="Arial" w:cs="Arial"/>
    </w:rPr>
  </w:style>
  <w:style w:type="character" w:styleId="Emphasis">
    <w:name w:val="Emphasis"/>
    <w:basedOn w:val="DefaultParagraphFont"/>
    <w:uiPriority w:val="20"/>
    <w:qFormat/>
    <w:rsid w:val="00F16BAA"/>
    <w:rPr>
      <w:i/>
      <w:iCs/>
    </w:rPr>
  </w:style>
  <w:style w:type="character" w:customStyle="1" w:styleId="highwire-citation-authors">
    <w:name w:val="highwire-citation-authors"/>
    <w:basedOn w:val="DefaultParagraphFont"/>
    <w:rsid w:val="000B0587"/>
  </w:style>
  <w:style w:type="character" w:customStyle="1" w:styleId="highwire-citation-author">
    <w:name w:val="highwire-citation-author"/>
    <w:basedOn w:val="DefaultParagraphFont"/>
    <w:rsid w:val="000B0587"/>
  </w:style>
  <w:style w:type="character" w:customStyle="1" w:styleId="highwire-cite-metadata-journal">
    <w:name w:val="highwire-cite-metadata-journal"/>
    <w:basedOn w:val="DefaultParagraphFont"/>
    <w:rsid w:val="000B0587"/>
  </w:style>
  <w:style w:type="character" w:customStyle="1" w:styleId="highwire-cite-metadata-date">
    <w:name w:val="highwire-cite-metadata-date"/>
    <w:basedOn w:val="DefaultParagraphFont"/>
    <w:rsid w:val="000B0587"/>
  </w:style>
  <w:style w:type="character" w:customStyle="1" w:styleId="highwire-cite-metadata-volume">
    <w:name w:val="highwire-cite-metadata-volume"/>
    <w:basedOn w:val="DefaultParagraphFont"/>
    <w:rsid w:val="000B0587"/>
  </w:style>
  <w:style w:type="character" w:customStyle="1" w:styleId="highwire-cite-metadata-issue">
    <w:name w:val="highwire-cite-metadata-issue"/>
    <w:basedOn w:val="DefaultParagraphFont"/>
    <w:rsid w:val="000B0587"/>
  </w:style>
  <w:style w:type="character" w:customStyle="1" w:styleId="highwire-cite-metadata-pages">
    <w:name w:val="highwire-cite-metadata-pages"/>
    <w:basedOn w:val="DefaultParagraphFont"/>
    <w:rsid w:val="000B0587"/>
  </w:style>
  <w:style w:type="character" w:customStyle="1" w:styleId="highwire-cite-metadata-doi">
    <w:name w:val="highwire-cite-metadata-doi"/>
    <w:basedOn w:val="DefaultParagraphFont"/>
    <w:rsid w:val="000B0587"/>
  </w:style>
  <w:style w:type="paragraph" w:styleId="NormalWeb">
    <w:name w:val="Normal (Web)"/>
    <w:basedOn w:val="Normal"/>
    <w:uiPriority w:val="99"/>
    <w:unhideWhenUsed/>
    <w:rsid w:val="00FF5D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F5D30"/>
    <w:rPr>
      <w:b/>
      <w:bCs/>
    </w:rPr>
  </w:style>
  <w:style w:type="character" w:customStyle="1" w:styleId="authors-list-item">
    <w:name w:val="authors-list-item"/>
    <w:basedOn w:val="DefaultParagraphFont"/>
    <w:rsid w:val="00BE50EE"/>
  </w:style>
  <w:style w:type="character" w:customStyle="1" w:styleId="author-sup-separator">
    <w:name w:val="author-sup-separator"/>
    <w:basedOn w:val="DefaultParagraphFont"/>
    <w:rsid w:val="00BE50EE"/>
  </w:style>
  <w:style w:type="character" w:customStyle="1" w:styleId="comma">
    <w:name w:val="comma"/>
    <w:basedOn w:val="DefaultParagraphFont"/>
    <w:rsid w:val="00BE50EE"/>
  </w:style>
  <w:style w:type="character" w:customStyle="1" w:styleId="UnresolvedMention1">
    <w:name w:val="Unresolved Mention1"/>
    <w:basedOn w:val="DefaultParagraphFont"/>
    <w:uiPriority w:val="99"/>
    <w:semiHidden/>
    <w:unhideWhenUsed/>
    <w:rsid w:val="00BE50EE"/>
    <w:rPr>
      <w:color w:val="605E5C"/>
      <w:shd w:val="clear" w:color="auto" w:fill="E1DFDD"/>
    </w:rPr>
  </w:style>
  <w:style w:type="character" w:customStyle="1" w:styleId="period">
    <w:name w:val="period"/>
    <w:basedOn w:val="DefaultParagraphFont"/>
    <w:rsid w:val="00BE50EE"/>
  </w:style>
  <w:style w:type="character" w:customStyle="1" w:styleId="cit">
    <w:name w:val="cit"/>
    <w:basedOn w:val="DefaultParagraphFont"/>
    <w:rsid w:val="00BE50EE"/>
  </w:style>
  <w:style w:type="character" w:customStyle="1" w:styleId="citation-doi">
    <w:name w:val="citation-doi"/>
    <w:basedOn w:val="DefaultParagraphFont"/>
    <w:rsid w:val="00F4284A"/>
  </w:style>
  <w:style w:type="character" w:customStyle="1" w:styleId="secondary-date">
    <w:name w:val="secondary-date"/>
    <w:basedOn w:val="DefaultParagraphFont"/>
    <w:rsid w:val="00F4284A"/>
  </w:style>
  <w:style w:type="character" w:customStyle="1" w:styleId="ref-journal">
    <w:name w:val="ref-journal"/>
    <w:basedOn w:val="DefaultParagraphFont"/>
    <w:rsid w:val="00AD171D"/>
  </w:style>
  <w:style w:type="character" w:customStyle="1" w:styleId="ref-vol">
    <w:name w:val="ref-vol"/>
    <w:basedOn w:val="DefaultParagraphFont"/>
    <w:rsid w:val="00AD171D"/>
  </w:style>
  <w:style w:type="character" w:customStyle="1" w:styleId="element-citation">
    <w:name w:val="element-citation"/>
    <w:basedOn w:val="DefaultParagraphFont"/>
    <w:rsid w:val="00AD171D"/>
  </w:style>
  <w:style w:type="character" w:customStyle="1" w:styleId="nowrap">
    <w:name w:val="nowrap"/>
    <w:basedOn w:val="DefaultParagraphFont"/>
    <w:rsid w:val="00AD171D"/>
  </w:style>
  <w:style w:type="character" w:styleId="CommentReference">
    <w:name w:val="annotation reference"/>
    <w:basedOn w:val="DefaultParagraphFont"/>
    <w:uiPriority w:val="99"/>
    <w:semiHidden/>
    <w:unhideWhenUsed/>
    <w:rsid w:val="005D6FFC"/>
    <w:rPr>
      <w:sz w:val="16"/>
      <w:szCs w:val="16"/>
    </w:rPr>
  </w:style>
  <w:style w:type="paragraph" w:styleId="CommentText">
    <w:name w:val="annotation text"/>
    <w:basedOn w:val="Normal"/>
    <w:link w:val="CommentTextChar"/>
    <w:uiPriority w:val="99"/>
    <w:semiHidden/>
    <w:unhideWhenUsed/>
    <w:rsid w:val="005D6FFC"/>
    <w:pPr>
      <w:spacing w:line="240" w:lineRule="auto"/>
    </w:pPr>
    <w:rPr>
      <w:sz w:val="20"/>
      <w:szCs w:val="20"/>
    </w:rPr>
  </w:style>
  <w:style w:type="character" w:customStyle="1" w:styleId="CommentTextChar">
    <w:name w:val="Comment Text Char"/>
    <w:basedOn w:val="DefaultParagraphFont"/>
    <w:link w:val="CommentText"/>
    <w:uiPriority w:val="99"/>
    <w:semiHidden/>
    <w:rsid w:val="005D6FFC"/>
    <w:rPr>
      <w:sz w:val="20"/>
      <w:szCs w:val="20"/>
    </w:rPr>
  </w:style>
  <w:style w:type="paragraph" w:styleId="CommentSubject">
    <w:name w:val="annotation subject"/>
    <w:basedOn w:val="CommentText"/>
    <w:next w:val="CommentText"/>
    <w:link w:val="CommentSubjectChar"/>
    <w:uiPriority w:val="99"/>
    <w:semiHidden/>
    <w:unhideWhenUsed/>
    <w:rsid w:val="005D6FFC"/>
    <w:rPr>
      <w:b/>
      <w:bCs/>
    </w:rPr>
  </w:style>
  <w:style w:type="character" w:customStyle="1" w:styleId="CommentSubjectChar">
    <w:name w:val="Comment Subject Char"/>
    <w:basedOn w:val="CommentTextChar"/>
    <w:link w:val="CommentSubject"/>
    <w:uiPriority w:val="99"/>
    <w:semiHidden/>
    <w:rsid w:val="005D6F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845997">
      <w:bodyDiv w:val="1"/>
      <w:marLeft w:val="0"/>
      <w:marRight w:val="0"/>
      <w:marTop w:val="0"/>
      <w:marBottom w:val="0"/>
      <w:divBdr>
        <w:top w:val="none" w:sz="0" w:space="0" w:color="auto"/>
        <w:left w:val="none" w:sz="0" w:space="0" w:color="auto"/>
        <w:bottom w:val="none" w:sz="0" w:space="0" w:color="auto"/>
        <w:right w:val="none" w:sz="0" w:space="0" w:color="auto"/>
      </w:divBdr>
      <w:divsChild>
        <w:div w:id="1969819146">
          <w:marLeft w:val="0"/>
          <w:marRight w:val="0"/>
          <w:marTop w:val="0"/>
          <w:marBottom w:val="0"/>
          <w:divBdr>
            <w:top w:val="none" w:sz="0" w:space="0" w:color="auto"/>
            <w:left w:val="none" w:sz="0" w:space="0" w:color="auto"/>
            <w:bottom w:val="none" w:sz="0" w:space="0" w:color="auto"/>
            <w:right w:val="none" w:sz="0" w:space="0" w:color="auto"/>
          </w:divBdr>
          <w:divsChild>
            <w:div w:id="1533765465">
              <w:marLeft w:val="0"/>
              <w:marRight w:val="0"/>
              <w:marTop w:val="0"/>
              <w:marBottom w:val="0"/>
              <w:divBdr>
                <w:top w:val="none" w:sz="0" w:space="0" w:color="auto"/>
                <w:left w:val="none" w:sz="0" w:space="0" w:color="auto"/>
                <w:bottom w:val="none" w:sz="0" w:space="0" w:color="auto"/>
                <w:right w:val="none" w:sz="0" w:space="0" w:color="auto"/>
              </w:divBdr>
              <w:divsChild>
                <w:div w:id="45398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436479">
      <w:bodyDiv w:val="1"/>
      <w:marLeft w:val="0"/>
      <w:marRight w:val="0"/>
      <w:marTop w:val="0"/>
      <w:marBottom w:val="0"/>
      <w:divBdr>
        <w:top w:val="none" w:sz="0" w:space="0" w:color="auto"/>
        <w:left w:val="none" w:sz="0" w:space="0" w:color="auto"/>
        <w:bottom w:val="none" w:sz="0" w:space="0" w:color="auto"/>
        <w:right w:val="none" w:sz="0" w:space="0" w:color="auto"/>
      </w:divBdr>
      <w:divsChild>
        <w:div w:id="1196187766">
          <w:marLeft w:val="0"/>
          <w:marRight w:val="0"/>
          <w:marTop w:val="75"/>
          <w:marBottom w:val="0"/>
          <w:divBdr>
            <w:top w:val="none" w:sz="0" w:space="0" w:color="auto"/>
            <w:left w:val="none" w:sz="0" w:space="0" w:color="auto"/>
            <w:bottom w:val="none" w:sz="0" w:space="0" w:color="auto"/>
            <w:right w:val="none" w:sz="0" w:space="0" w:color="auto"/>
          </w:divBdr>
        </w:div>
        <w:div w:id="733818648">
          <w:marLeft w:val="0"/>
          <w:marRight w:val="0"/>
          <w:marTop w:val="75"/>
          <w:marBottom w:val="300"/>
          <w:divBdr>
            <w:top w:val="none" w:sz="0" w:space="0" w:color="auto"/>
            <w:left w:val="none" w:sz="0" w:space="0" w:color="auto"/>
            <w:bottom w:val="none" w:sz="0" w:space="0" w:color="auto"/>
            <w:right w:val="none" w:sz="0" w:space="0" w:color="auto"/>
          </w:divBdr>
        </w:div>
      </w:divsChild>
    </w:div>
    <w:div w:id="1043560805">
      <w:bodyDiv w:val="1"/>
      <w:marLeft w:val="0"/>
      <w:marRight w:val="0"/>
      <w:marTop w:val="0"/>
      <w:marBottom w:val="0"/>
      <w:divBdr>
        <w:top w:val="none" w:sz="0" w:space="0" w:color="auto"/>
        <w:left w:val="none" w:sz="0" w:space="0" w:color="auto"/>
        <w:bottom w:val="none" w:sz="0" w:space="0" w:color="auto"/>
        <w:right w:val="none" w:sz="0" w:space="0" w:color="auto"/>
      </w:divBdr>
      <w:divsChild>
        <w:div w:id="125705340">
          <w:marLeft w:val="0"/>
          <w:marRight w:val="0"/>
          <w:marTop w:val="200"/>
          <w:marBottom w:val="200"/>
          <w:divBdr>
            <w:top w:val="none" w:sz="0" w:space="0" w:color="auto"/>
            <w:left w:val="none" w:sz="0" w:space="0" w:color="auto"/>
            <w:bottom w:val="none" w:sz="0" w:space="0" w:color="auto"/>
            <w:right w:val="none" w:sz="0" w:space="0" w:color="auto"/>
          </w:divBdr>
        </w:div>
        <w:div w:id="1388608906">
          <w:marLeft w:val="0"/>
          <w:marRight w:val="0"/>
          <w:marTop w:val="200"/>
          <w:marBottom w:val="200"/>
          <w:divBdr>
            <w:top w:val="none" w:sz="0" w:space="0" w:color="auto"/>
            <w:left w:val="none" w:sz="0" w:space="0" w:color="auto"/>
            <w:bottom w:val="none" w:sz="0" w:space="0" w:color="auto"/>
            <w:right w:val="none" w:sz="0" w:space="0" w:color="auto"/>
          </w:divBdr>
        </w:div>
      </w:divsChild>
    </w:div>
    <w:div w:id="1134519715">
      <w:bodyDiv w:val="1"/>
      <w:marLeft w:val="0"/>
      <w:marRight w:val="0"/>
      <w:marTop w:val="0"/>
      <w:marBottom w:val="0"/>
      <w:divBdr>
        <w:top w:val="none" w:sz="0" w:space="0" w:color="auto"/>
        <w:left w:val="none" w:sz="0" w:space="0" w:color="auto"/>
        <w:bottom w:val="none" w:sz="0" w:space="0" w:color="auto"/>
        <w:right w:val="none" w:sz="0" w:space="0" w:color="auto"/>
      </w:divBdr>
    </w:div>
    <w:div w:id="1243875399">
      <w:bodyDiv w:val="1"/>
      <w:marLeft w:val="0"/>
      <w:marRight w:val="0"/>
      <w:marTop w:val="0"/>
      <w:marBottom w:val="0"/>
      <w:divBdr>
        <w:top w:val="none" w:sz="0" w:space="0" w:color="auto"/>
        <w:left w:val="none" w:sz="0" w:space="0" w:color="auto"/>
        <w:bottom w:val="none" w:sz="0" w:space="0" w:color="auto"/>
        <w:right w:val="none" w:sz="0" w:space="0" w:color="auto"/>
      </w:divBdr>
      <w:divsChild>
        <w:div w:id="556009418">
          <w:marLeft w:val="0"/>
          <w:marRight w:val="0"/>
          <w:marTop w:val="0"/>
          <w:marBottom w:val="0"/>
          <w:divBdr>
            <w:top w:val="none" w:sz="0" w:space="0" w:color="auto"/>
            <w:left w:val="none" w:sz="0" w:space="0" w:color="auto"/>
            <w:bottom w:val="none" w:sz="0" w:space="0" w:color="auto"/>
            <w:right w:val="none" w:sz="0" w:space="0" w:color="auto"/>
          </w:divBdr>
          <w:divsChild>
            <w:div w:id="3896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95832">
      <w:bodyDiv w:val="1"/>
      <w:marLeft w:val="0"/>
      <w:marRight w:val="0"/>
      <w:marTop w:val="0"/>
      <w:marBottom w:val="0"/>
      <w:divBdr>
        <w:top w:val="none" w:sz="0" w:space="0" w:color="auto"/>
        <w:left w:val="none" w:sz="0" w:space="0" w:color="auto"/>
        <w:bottom w:val="none" w:sz="0" w:space="0" w:color="auto"/>
        <w:right w:val="none" w:sz="0" w:space="0" w:color="auto"/>
      </w:divBdr>
      <w:divsChild>
        <w:div w:id="1296764334">
          <w:marLeft w:val="0"/>
          <w:marRight w:val="0"/>
          <w:marTop w:val="0"/>
          <w:marBottom w:val="0"/>
          <w:divBdr>
            <w:top w:val="none" w:sz="0" w:space="0" w:color="auto"/>
            <w:left w:val="none" w:sz="0" w:space="0" w:color="auto"/>
            <w:bottom w:val="none" w:sz="0" w:space="0" w:color="auto"/>
            <w:right w:val="none" w:sz="0" w:space="0" w:color="auto"/>
          </w:divBdr>
          <w:divsChild>
            <w:div w:id="163253684">
              <w:marLeft w:val="0"/>
              <w:marRight w:val="0"/>
              <w:marTop w:val="0"/>
              <w:marBottom w:val="0"/>
              <w:divBdr>
                <w:top w:val="none" w:sz="0" w:space="0" w:color="auto"/>
                <w:left w:val="none" w:sz="0" w:space="0" w:color="auto"/>
                <w:bottom w:val="none" w:sz="0" w:space="0" w:color="auto"/>
                <w:right w:val="none" w:sz="0" w:space="0" w:color="auto"/>
              </w:divBdr>
              <w:divsChild>
                <w:div w:id="11186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125786">
      <w:bodyDiv w:val="1"/>
      <w:marLeft w:val="0"/>
      <w:marRight w:val="0"/>
      <w:marTop w:val="0"/>
      <w:marBottom w:val="0"/>
      <w:divBdr>
        <w:top w:val="none" w:sz="0" w:space="0" w:color="auto"/>
        <w:left w:val="none" w:sz="0" w:space="0" w:color="auto"/>
        <w:bottom w:val="none" w:sz="0" w:space="0" w:color="auto"/>
        <w:right w:val="none" w:sz="0" w:space="0" w:color="auto"/>
      </w:divBdr>
    </w:div>
    <w:div w:id="1603486271">
      <w:bodyDiv w:val="1"/>
      <w:marLeft w:val="0"/>
      <w:marRight w:val="0"/>
      <w:marTop w:val="0"/>
      <w:marBottom w:val="0"/>
      <w:divBdr>
        <w:top w:val="none" w:sz="0" w:space="0" w:color="auto"/>
        <w:left w:val="none" w:sz="0" w:space="0" w:color="auto"/>
        <w:bottom w:val="none" w:sz="0" w:space="0" w:color="auto"/>
        <w:right w:val="none" w:sz="0" w:space="0" w:color="auto"/>
      </w:divBdr>
      <w:divsChild>
        <w:div w:id="438378127">
          <w:marLeft w:val="0"/>
          <w:marRight w:val="0"/>
          <w:marTop w:val="0"/>
          <w:marBottom w:val="0"/>
          <w:divBdr>
            <w:top w:val="none" w:sz="0" w:space="0" w:color="auto"/>
            <w:left w:val="none" w:sz="0" w:space="0" w:color="auto"/>
            <w:bottom w:val="none" w:sz="0" w:space="0" w:color="auto"/>
            <w:right w:val="none" w:sz="0" w:space="0" w:color="auto"/>
          </w:divBdr>
          <w:divsChild>
            <w:div w:id="495877990">
              <w:marLeft w:val="0"/>
              <w:marRight w:val="0"/>
              <w:marTop w:val="0"/>
              <w:marBottom w:val="0"/>
              <w:divBdr>
                <w:top w:val="none" w:sz="0" w:space="0" w:color="auto"/>
                <w:left w:val="none" w:sz="0" w:space="0" w:color="auto"/>
                <w:bottom w:val="none" w:sz="0" w:space="0" w:color="auto"/>
                <w:right w:val="none" w:sz="0" w:space="0" w:color="auto"/>
              </w:divBdr>
              <w:divsChild>
                <w:div w:id="13480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5938153/" TargetMode="External"/><Relationship Id="rId18" Type="http://schemas.openxmlformats.org/officeDocument/2006/relationships/hyperlink" Target="https://www.ncbi.nlm.nih.gov/pmc/articles/PMC8040271/" TargetMode="External"/><Relationship Id="rId26" Type="http://schemas.openxmlformats.org/officeDocument/2006/relationships/hyperlink" Target="https://www.ncbi.nlm.nih.gov/pmc/articles/PMC5938153/" TargetMode="External"/><Relationship Id="rId3" Type="http://schemas.openxmlformats.org/officeDocument/2006/relationships/settings" Target="settings.xml"/><Relationship Id="rId21" Type="http://schemas.openxmlformats.org/officeDocument/2006/relationships/hyperlink" Target="https://www.ncbi.nlm.nih.gov/pmc/articles/PMC5938153/" TargetMode="External"/><Relationship Id="rId34" Type="http://schemas.openxmlformats.org/officeDocument/2006/relationships/header" Target="header1.xml"/><Relationship Id="rId7" Type="http://schemas.openxmlformats.org/officeDocument/2006/relationships/hyperlink" Target="https://www.ncbi.nlm.nih.gov/pmc/articles/PMC5938153/" TargetMode="External"/><Relationship Id="rId12" Type="http://schemas.openxmlformats.org/officeDocument/2006/relationships/hyperlink" Target="https://www.ncbi.nlm.nih.gov/pmc/articles/PMC5938153/" TargetMode="External"/><Relationship Id="rId17" Type="http://schemas.openxmlformats.org/officeDocument/2006/relationships/hyperlink" Target="https://www.ncbi.nlm.nih.gov/pmc/articles/PMC8040271/" TargetMode="External"/><Relationship Id="rId25" Type="http://schemas.openxmlformats.org/officeDocument/2006/relationships/hyperlink" Target="https://www.ncbi.nlm.nih.gov/pmc/articles/PMC5938153/" TargetMode="External"/><Relationship Id="rId33" Type="http://schemas.openxmlformats.org/officeDocument/2006/relationships/hyperlink" Target="https://scholar.google.com/scholar_lookup?journal=J+Pediatr&amp;title=Bisphosphonate+Treatment+in+Chronic+Recurrent+Multifocal+Osteomyelitis&amp;author=P+Simm&amp;author=R+Allen&amp;author=M+Zacharin&amp;volume=152&amp;publication_year=2008&amp;pages=571-575&amp;pmid=18346517&amp;" TargetMode="External"/><Relationship Id="rId2" Type="http://schemas.openxmlformats.org/officeDocument/2006/relationships/styles" Target="styles.xml"/><Relationship Id="rId16" Type="http://schemas.openxmlformats.org/officeDocument/2006/relationships/hyperlink" Target="https://www.ncbi.nlm.nih.gov/pmc/articles/PMC8040271/" TargetMode="External"/><Relationship Id="rId20" Type="http://schemas.openxmlformats.org/officeDocument/2006/relationships/hyperlink" Target="https://www.ncbi.nlm.nih.gov/pmc/articles/PMC5938153/" TargetMode="External"/><Relationship Id="rId29" Type="http://schemas.openxmlformats.org/officeDocument/2006/relationships/hyperlink" Target="https://www.sciencedirect.com/topics/medicine-and-dentistry/bone-les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pmc/articles/PMC5938153/" TargetMode="External"/><Relationship Id="rId24" Type="http://schemas.openxmlformats.org/officeDocument/2006/relationships/hyperlink" Target="https://www.ncbi.nlm.nih.gov/pmc/articles/PMC5938153/" TargetMode="External"/><Relationship Id="rId32" Type="http://schemas.openxmlformats.org/officeDocument/2006/relationships/hyperlink" Target="https://pubmed.ncbi.nlm.nih.gov/18346517" TargetMode="External"/><Relationship Id="rId5" Type="http://schemas.openxmlformats.org/officeDocument/2006/relationships/footnotes" Target="footnotes.xml"/><Relationship Id="rId15" Type="http://schemas.openxmlformats.org/officeDocument/2006/relationships/hyperlink" Target="https://www.ncbi.nlm.nih.gov/pmc/articles/PMC8040271/" TargetMode="External"/><Relationship Id="rId23" Type="http://schemas.openxmlformats.org/officeDocument/2006/relationships/hyperlink" Target="https://www.ncbi.nlm.nih.gov/pmc/articles/PMC5938153/" TargetMode="External"/><Relationship Id="rId28" Type="http://schemas.openxmlformats.org/officeDocument/2006/relationships/hyperlink" Target="https://www.sciencedirect.com/topics/medicine-and-dentistry/spontaneous-remission" TargetMode="External"/><Relationship Id="rId36" Type="http://schemas.openxmlformats.org/officeDocument/2006/relationships/theme" Target="theme/theme1.xml"/><Relationship Id="rId10" Type="http://schemas.openxmlformats.org/officeDocument/2006/relationships/hyperlink" Target="https://www.ncbi.nlm.nih.gov/pmc/articles/PMC5938153/" TargetMode="External"/><Relationship Id="rId19" Type="http://schemas.openxmlformats.org/officeDocument/2006/relationships/hyperlink" Target="https://www.ncbi.nlm.nih.gov/pmc/articles/PMC5938153/" TargetMode="External"/><Relationship Id="rId31" Type="http://schemas.openxmlformats.org/officeDocument/2006/relationships/hyperlink" Target="https://doi.org/10.3899/jrheum.161255"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ncbi.nlm.nih.gov/pmc/articles/PMC5938153/" TargetMode="External"/><Relationship Id="rId22" Type="http://schemas.openxmlformats.org/officeDocument/2006/relationships/hyperlink" Target="https://www.ncbi.nlm.nih.gov/pmc/articles/PMC5938153/" TargetMode="External"/><Relationship Id="rId27" Type="http://schemas.openxmlformats.org/officeDocument/2006/relationships/hyperlink" Target="https://www.ncbi.nlm.nih.gov/pmc/articles/PMC5938153/" TargetMode="External"/><Relationship Id="rId30" Type="http://schemas.openxmlformats.org/officeDocument/2006/relationships/hyperlink" Target="https://www.sciencedirect.com/topics/medicine-and-dentistry/c-reactive-protein" TargetMode="External"/><Relationship Id="rId35" Type="http://schemas.openxmlformats.org/officeDocument/2006/relationships/fontTable" Target="fontTable.xml"/><Relationship Id="rId8" Type="http://schemas.openxmlformats.org/officeDocument/2006/relationships/hyperlink" Target="https://www.ncbi.nlm.nih.gov/pmc/articles/PMC593815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3284</Words>
  <Characters>18719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NHS NSS</Company>
  <LinksUpToDate>false</LinksUpToDate>
  <CharactersWithSpaces>21960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Paolina Leseva</dc:creator>
  <cp:lastModifiedBy>Kirsty Young</cp:lastModifiedBy>
  <cp:revision>2</cp:revision>
  <cp:lastPrinted>2018-03-08T10:48:00Z</cp:lastPrinted>
  <dcterms:created xsi:type="dcterms:W3CDTF">2023-07-26T06:10:00Z</dcterms:created>
  <dcterms:modified xsi:type="dcterms:W3CDTF">2023-07-26T06:10:00Z</dcterms:modified>
</cp:coreProperties>
</file>